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bookmarkStart w:id="0" w:name="_Hlk97121947"/>
    </w:p>
    <w:p>
      <w:pPr>
        <w:pStyle w:val="6"/>
      </w:pPr>
    </w:p>
    <w:p>
      <w:pPr>
        <w:spacing w:line="360" w:lineRule="auto"/>
        <w:ind w:firstLine="560"/>
        <w:rPr>
          <w:rFonts w:eastAsia="仿宋_GB2312"/>
          <w:sz w:val="28"/>
          <w:szCs w:val="28"/>
        </w:rPr>
      </w:pPr>
    </w:p>
    <w:p>
      <w:pPr>
        <w:spacing w:after="120" w:line="360" w:lineRule="auto"/>
        <w:jc w:val="center"/>
        <w:rPr>
          <w:rFonts w:ascii="黑体" w:hAnsi="宋体" w:eastAsia="黑体"/>
          <w:sz w:val="44"/>
          <w:szCs w:val="44"/>
        </w:rPr>
      </w:pPr>
      <w:r>
        <w:rPr>
          <w:rFonts w:hint="eastAsia" w:ascii="黑体" w:hAnsi="宋体" w:eastAsia="黑体"/>
          <w:sz w:val="44"/>
          <w:szCs w:val="44"/>
        </w:rPr>
        <w:t>江苏省广电有线信息网络股份有限公司</w:t>
      </w:r>
    </w:p>
    <w:p>
      <w:pPr>
        <w:spacing w:after="120" w:line="360" w:lineRule="auto"/>
        <w:jc w:val="center"/>
        <w:rPr>
          <w:rFonts w:ascii="黑体" w:hAnsi="宋体" w:eastAsia="黑体"/>
          <w:sz w:val="44"/>
          <w:szCs w:val="44"/>
        </w:rPr>
      </w:pPr>
      <w:bookmarkStart w:id="1" w:name="_Hlk100843490"/>
      <w:bookmarkStart w:id="2" w:name="_Toc227057880"/>
      <w:r>
        <w:rPr>
          <w:rFonts w:hint="eastAsia" w:ascii="黑体" w:hAnsi="宋体" w:eastAsia="黑体"/>
          <w:sz w:val="44"/>
          <w:szCs w:val="44"/>
        </w:rPr>
        <w:t>堡垒机设备采购</w:t>
      </w:r>
    </w:p>
    <w:bookmarkEnd w:id="1"/>
    <w:p>
      <w:pPr>
        <w:spacing w:after="120" w:line="360" w:lineRule="auto"/>
        <w:jc w:val="center"/>
        <w:rPr>
          <w:rFonts w:ascii="黑体" w:hAnsi="宋体" w:eastAsia="黑体"/>
          <w:sz w:val="44"/>
          <w:szCs w:val="44"/>
        </w:rPr>
      </w:pPr>
      <w:r>
        <w:rPr>
          <w:rFonts w:hint="eastAsia" w:ascii="黑体" w:hAnsi="宋体" w:eastAsia="黑体"/>
          <w:sz w:val="44"/>
          <w:szCs w:val="44"/>
        </w:rPr>
        <w:t>竞争性谈判文件</w:t>
      </w: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pPr>
        <w:pStyle w:val="21"/>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w:t>
      </w:r>
      <w:r>
        <w:rPr>
          <w:rFonts w:hint="eastAsia"/>
          <w:b/>
          <w:szCs w:val="28"/>
          <w:lang w:val="en-US" w:eastAsia="zh-CN"/>
        </w:rPr>
        <w:t>四</w:t>
      </w:r>
      <w:r>
        <w:rPr>
          <w:rFonts w:hint="eastAsia"/>
          <w:b/>
          <w:szCs w:val="28"/>
        </w:rPr>
        <w:t>年</w:t>
      </w:r>
      <w:r>
        <w:rPr>
          <w:rFonts w:hint="eastAsia"/>
          <w:b/>
          <w:szCs w:val="28"/>
          <w:lang w:val="en-US" w:eastAsia="zh-CN"/>
        </w:rPr>
        <w:t>一</w:t>
      </w:r>
      <w:r>
        <w:rPr>
          <w:rFonts w:hint="eastAsia"/>
          <w:b/>
          <w:szCs w:val="28"/>
        </w:rPr>
        <w:t>月</w:t>
      </w:r>
    </w:p>
    <w:p>
      <w:pPr>
        <w:spacing w:after="120" w:line="360" w:lineRule="auto"/>
        <w:ind w:firstLine="1405" w:firstLineChars="500"/>
        <w:rPr>
          <w:b/>
          <w:sz w:val="28"/>
          <w:szCs w:val="28"/>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pPr>
      <w:r>
        <w:rPr>
          <w:rFonts w:ascii="宋体" w:hAnsi="宋体" w:eastAsia="宋体"/>
          <w:color w:val="auto"/>
          <w:sz w:val="30"/>
          <w:szCs w:val="30"/>
          <w:lang w:val="zh-CN"/>
        </w:rPr>
        <w:t>目录</w:t>
      </w:r>
    </w:p>
    <w:p>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 竞争性谈判公告</w:t>
      </w:r>
      <w:r>
        <w:tab/>
      </w:r>
      <w:r>
        <w:fldChar w:fldCharType="begin"/>
      </w:r>
      <w:r>
        <w:instrText xml:space="preserve"> PAGEREF _Toc69378615 \h </w:instrText>
      </w:r>
      <w:r>
        <w:fldChar w:fldCharType="separate"/>
      </w:r>
      <w:r>
        <w:t>3</w:t>
      </w:r>
      <w:r>
        <w:fldChar w:fldCharType="end"/>
      </w:r>
      <w:r>
        <w:fldChar w:fldCharType="end"/>
      </w:r>
    </w:p>
    <w:p>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 竞争性谈判须知</w:t>
      </w:r>
      <w:r>
        <w:tab/>
      </w:r>
      <w:r>
        <w:fldChar w:fldCharType="end"/>
      </w:r>
      <w:r>
        <w:rPr>
          <w:rFonts w:hint="eastAsia"/>
        </w:rPr>
        <w:t>6</w:t>
      </w:r>
    </w:p>
    <w:p>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 评审办法</w:t>
      </w:r>
      <w:r>
        <w:tab/>
      </w:r>
      <w:r>
        <w:rPr>
          <w:rFonts w:hint="eastAsia"/>
        </w:rPr>
        <w:t>1</w:t>
      </w:r>
      <w:r>
        <w:rPr>
          <w:rFonts w:hint="eastAsia"/>
        </w:rPr>
        <w:fldChar w:fldCharType="end"/>
      </w:r>
      <w:r>
        <w:rPr>
          <w:rFonts w:hint="eastAsia"/>
        </w:rPr>
        <w:t>7</w:t>
      </w:r>
    </w:p>
    <w:p>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 合同格式</w:t>
      </w:r>
      <w:r>
        <w:tab/>
      </w:r>
      <w:r>
        <w:fldChar w:fldCharType="end"/>
      </w:r>
      <w:r>
        <w:rPr>
          <w:rFonts w:hint="eastAsia"/>
        </w:rPr>
        <w:t>20</w:t>
      </w:r>
    </w:p>
    <w:p>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 技术需求书</w:t>
      </w:r>
      <w:r>
        <w:tab/>
      </w:r>
      <w:r>
        <w:fldChar w:fldCharType="end"/>
      </w:r>
      <w:r>
        <w:rPr>
          <w:rFonts w:hint="eastAsia"/>
        </w:rPr>
        <w:t>3</w:t>
      </w:r>
      <w:r>
        <w:t>6</w:t>
      </w:r>
    </w:p>
    <w:p>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 竞争性谈判响应文件格式</w:t>
      </w:r>
      <w:r>
        <w:tab/>
      </w:r>
      <w:r>
        <w:rPr>
          <w:rFonts w:hint="eastAsia"/>
        </w:rPr>
        <w:t>3</w:t>
      </w:r>
      <w:r>
        <w:rPr>
          <w:rFonts w:hint="eastAsia"/>
        </w:rPr>
        <w:fldChar w:fldCharType="end"/>
      </w:r>
      <w:r>
        <w:rPr>
          <w:rFonts w:hint="eastAsia"/>
        </w:rPr>
        <w:t>8</w:t>
      </w:r>
    </w:p>
    <w:p>
      <w:pPr>
        <w:pStyle w:val="38"/>
        <w:rPr>
          <w:rFonts w:ascii="Calibri" w:hAnsi="Calibri" w:eastAsia="宋体"/>
          <w:caps w:val="0"/>
          <w:kern w:val="2"/>
          <w:szCs w:val="22"/>
        </w:rPr>
      </w:pPr>
      <w:r>
        <w:rPr>
          <w:rFonts w:ascii="宋体" w:hAnsi="宋体" w:eastAsia="宋体"/>
          <w:sz w:val="20"/>
          <w:szCs w:val="20"/>
        </w:rPr>
        <w:fldChar w:fldCharType="end"/>
      </w:r>
    </w:p>
    <w:p>
      <w:pPr>
        <w:widowControl/>
        <w:jc w:val="left"/>
        <w:rPr>
          <w:rFonts w:eastAsia="黑体"/>
          <w:bCs/>
          <w:kern w:val="44"/>
          <w:sz w:val="30"/>
          <w:szCs w:val="44"/>
        </w:rPr>
      </w:pPr>
      <w:r>
        <w:br w:type="page"/>
      </w:r>
    </w:p>
    <w:p>
      <w:pPr>
        <w:pStyle w:val="2"/>
        <w:numPr>
          <w:ilvl w:val="0"/>
          <w:numId w:val="0"/>
        </w:numPr>
        <w:spacing w:before="0" w:after="0" w:line="360" w:lineRule="auto"/>
        <w:rPr>
          <w:b/>
          <w:sz w:val="36"/>
          <w:szCs w:val="36"/>
        </w:rPr>
      </w:pPr>
      <w:bookmarkStart w:id="3" w:name="_Toc69378615"/>
      <w:r>
        <w:rPr>
          <w:rFonts w:hint="eastAsia"/>
          <w:b/>
          <w:sz w:val="36"/>
          <w:szCs w:val="36"/>
        </w:rPr>
        <w:t>第一章 竞争性谈判公告</w:t>
      </w:r>
      <w:bookmarkEnd w:id="3"/>
    </w:p>
    <w:bookmarkEnd w:id="2"/>
    <w:p>
      <w:pPr>
        <w:spacing w:line="360" w:lineRule="auto"/>
        <w:ind w:firstLine="480" w:firstLineChars="200"/>
        <w:rPr>
          <w:rFonts w:ascii="宋体" w:hAnsi="宋体" w:cs="宋体"/>
          <w:bCs/>
          <w:kern w:val="0"/>
          <w:sz w:val="24"/>
        </w:rPr>
      </w:pPr>
      <w:r>
        <w:rPr>
          <w:rFonts w:hint="eastAsia" w:ascii="宋体" w:hAnsi="宋体" w:cs="宋体"/>
          <w:bCs/>
          <w:kern w:val="0"/>
          <w:sz w:val="24"/>
        </w:rPr>
        <w:t>江苏省广电有线信息网络股份有限公司就</w:t>
      </w:r>
      <w:r>
        <w:rPr>
          <w:rFonts w:hint="eastAsia" w:ascii="宋体" w:hAnsi="宋体" w:cs="宋体"/>
          <w:kern w:val="0"/>
          <w:sz w:val="24"/>
        </w:rPr>
        <w:t>“堡垒机设备采购项目”</w:t>
      </w:r>
      <w:r>
        <w:rPr>
          <w:rFonts w:hint="eastAsia" w:ascii="宋体" w:hAnsi="宋体" w:cs="宋体"/>
          <w:bCs/>
          <w:kern w:val="0"/>
          <w:sz w:val="24"/>
        </w:rPr>
        <w:t>组织竞争性谈判采购，现欢迎符合资格条件的供应商参加报价和谈判。</w:t>
      </w:r>
    </w:p>
    <w:p>
      <w:pPr>
        <w:spacing w:line="360" w:lineRule="auto"/>
        <w:ind w:firstLine="482" w:firstLineChars="200"/>
        <w:rPr>
          <w:rFonts w:ascii="宋体" w:hAnsi="宋体"/>
          <w:b/>
          <w:sz w:val="24"/>
        </w:rPr>
      </w:pPr>
      <w:r>
        <w:rPr>
          <w:rFonts w:hint="eastAsia" w:ascii="宋体" w:hAnsi="宋体" w:cs="宋体"/>
          <w:b/>
          <w:kern w:val="0"/>
          <w:sz w:val="24"/>
        </w:rPr>
        <w:t>一、项目概况</w:t>
      </w:r>
    </w:p>
    <w:p>
      <w:pPr>
        <w:spacing w:line="360" w:lineRule="auto"/>
        <w:ind w:firstLine="480" w:firstLineChars="200"/>
        <w:rPr>
          <w:rFonts w:ascii="宋体" w:hAnsi="宋体" w:cs="宋体"/>
          <w:bCs/>
          <w:kern w:val="0"/>
          <w:sz w:val="24"/>
        </w:rPr>
      </w:pPr>
      <w:r>
        <w:rPr>
          <w:rFonts w:ascii="宋体" w:hAnsi="宋体" w:cs="宋体"/>
          <w:bCs/>
          <w:kern w:val="0"/>
          <w:sz w:val="24"/>
        </w:rPr>
        <w:t>本期</w:t>
      </w:r>
      <w:r>
        <w:rPr>
          <w:rFonts w:hint="eastAsia" w:ascii="宋体" w:hAnsi="宋体" w:cs="宋体"/>
          <w:bCs/>
          <w:kern w:val="0"/>
          <w:sz w:val="24"/>
        </w:rPr>
        <w:t>项目</w:t>
      </w:r>
      <w:r>
        <w:rPr>
          <w:rFonts w:ascii="宋体" w:hAnsi="宋体" w:cs="宋体"/>
          <w:bCs/>
          <w:kern w:val="0"/>
          <w:sz w:val="24"/>
        </w:rPr>
        <w:t>计划采购</w:t>
      </w:r>
      <w:r>
        <w:rPr>
          <w:rFonts w:hint="eastAsia" w:ascii="宋体" w:hAnsi="宋体" w:cs="宋体"/>
          <w:bCs/>
          <w:kern w:val="0"/>
          <w:sz w:val="24"/>
        </w:rPr>
        <w:t>5G业务敏感数据专用数据库配套堡垒机1台。</w:t>
      </w:r>
    </w:p>
    <w:p>
      <w:pPr>
        <w:spacing w:line="360" w:lineRule="auto"/>
        <w:ind w:firstLine="482" w:firstLineChars="200"/>
        <w:rPr>
          <w:rFonts w:ascii="宋体" w:hAnsi="宋体" w:cs="宋体"/>
          <w:b/>
          <w:kern w:val="0"/>
          <w:sz w:val="24"/>
        </w:rPr>
      </w:pPr>
      <w:r>
        <w:rPr>
          <w:rFonts w:hint="eastAsia" w:ascii="宋体" w:hAnsi="宋体" w:cs="宋体"/>
          <w:b/>
          <w:kern w:val="0"/>
          <w:sz w:val="24"/>
        </w:rPr>
        <w:t>二、资格审查方式</w:t>
      </w:r>
    </w:p>
    <w:p>
      <w:pPr>
        <w:spacing w:line="360" w:lineRule="auto"/>
        <w:ind w:firstLine="480" w:firstLineChars="200"/>
        <w:rPr>
          <w:rFonts w:ascii="宋体" w:hAnsi="宋体" w:cs="宋体"/>
          <w:bCs/>
          <w:kern w:val="0"/>
          <w:sz w:val="24"/>
        </w:rPr>
      </w:pPr>
      <w:r>
        <w:rPr>
          <w:rFonts w:hint="eastAsia" w:ascii="宋体" w:hAnsi="宋体" w:cs="宋体"/>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482" w:firstLineChars="2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4" w:name="_Hlk74838219"/>
      <w:r>
        <w:rPr>
          <w:rFonts w:hint="eastAsia" w:ascii="宋体" w:hAnsi="宋体" w:cs="宋体"/>
          <w:kern w:val="0"/>
          <w:sz w:val="24"/>
          <w:szCs w:val="22"/>
        </w:rPr>
        <w:t>1.供应商须为在中华人民共和国境内合法注册的独立法人，遵守中国有关法律、法规，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p>
      <w:pPr>
        <w:spacing w:line="360" w:lineRule="auto"/>
        <w:ind w:firstLine="480" w:firstLineChars="200"/>
        <w:jc w:val="left"/>
        <w:rPr>
          <w:rFonts w:ascii="宋体" w:hAnsi="宋体" w:cs="宋体"/>
          <w:kern w:val="0"/>
          <w:sz w:val="24"/>
          <w:szCs w:val="22"/>
          <w:highlight w:val="none"/>
        </w:rPr>
      </w:pPr>
      <w:r>
        <w:rPr>
          <w:rFonts w:hint="eastAsia" w:ascii="宋体" w:hAnsi="宋体" w:cs="宋体"/>
          <w:kern w:val="0"/>
          <w:sz w:val="24"/>
          <w:szCs w:val="22"/>
        </w:rPr>
        <w:t>2.</w:t>
      </w:r>
      <w:r>
        <w:rPr>
          <w:rFonts w:hint="eastAsia" w:hAnsi="宋体" w:cs="宋体"/>
          <w:kern w:val="0"/>
          <w:sz w:val="24"/>
          <w:szCs w:val="22"/>
        </w:rPr>
        <w:t>供应商须是所投货物（或服务）的制造商或制造商针</w:t>
      </w:r>
      <w:r>
        <w:rPr>
          <w:rFonts w:hint="eastAsia" w:hAnsi="宋体" w:cs="宋体"/>
          <w:kern w:val="0"/>
          <w:sz w:val="24"/>
          <w:szCs w:val="22"/>
          <w:highlight w:val="none"/>
        </w:rPr>
        <w:t>对本项目的唯一授权代理商；代理商须提供制造商针对本项目的授权函，制造商和授权代理商不得同时参与本项目投标。若为代理商投标，供应商须和所响应货物制造商已经具有合作关系，并具有成功案例（提供相关证明材料并加盖公章）。</w:t>
      </w:r>
    </w:p>
    <w:p>
      <w:pPr>
        <w:spacing w:line="360" w:lineRule="auto"/>
        <w:ind w:firstLine="480" w:firstLineChars="200"/>
        <w:jc w:val="left"/>
        <w:rPr>
          <w:rFonts w:ascii="宋体" w:hAnsi="宋体" w:cs="宋体"/>
          <w:kern w:val="0"/>
          <w:sz w:val="24"/>
          <w:szCs w:val="22"/>
          <w:highlight w:val="none"/>
        </w:rPr>
      </w:pPr>
      <w:r>
        <w:rPr>
          <w:rFonts w:hint="eastAsia" w:ascii="宋体" w:hAnsi="宋体" w:cs="宋体"/>
          <w:kern w:val="0"/>
          <w:sz w:val="24"/>
          <w:szCs w:val="22"/>
          <w:highlight w:val="none"/>
        </w:rPr>
        <w:t>3.供应商须提供制造商对其所响应货物直接保修和服务的承诺。</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highlight w:val="none"/>
        </w:rPr>
        <w:t>4.供应商须出具经第三方审计的2021年度</w:t>
      </w:r>
      <w:r>
        <w:rPr>
          <w:rFonts w:hint="eastAsia" w:ascii="宋体" w:hAnsi="宋体" w:cs="宋体"/>
          <w:kern w:val="0"/>
          <w:sz w:val="24"/>
          <w:szCs w:val="22"/>
          <w:highlight w:val="none"/>
          <w:lang w:val="en-US" w:eastAsia="zh-CN"/>
        </w:rPr>
        <w:t>或</w:t>
      </w:r>
      <w:r>
        <w:rPr>
          <w:rFonts w:hint="eastAsia" w:ascii="宋体" w:hAnsi="宋体" w:cs="宋体"/>
          <w:kern w:val="0"/>
          <w:sz w:val="24"/>
          <w:szCs w:val="22"/>
          <w:highlight w:val="none"/>
        </w:rPr>
        <w:t>2022年度财</w:t>
      </w:r>
      <w:r>
        <w:rPr>
          <w:rFonts w:hint="eastAsia" w:ascii="宋体" w:hAnsi="宋体" w:cs="宋体"/>
          <w:kern w:val="0"/>
          <w:sz w:val="24"/>
          <w:szCs w:val="22"/>
        </w:rPr>
        <w:t>务报表。</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5.供应商须具有良好的业绩和经验，自2020年1月1日至投标截止日前（以合同签订时间为准）实施过类似项目，须提供合同复印件（原件备查）。</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供应商在华东地区须具有较大规模的销售和售后服务的组织机构及完善快捷的技术支持能力，拥有固定可靠的有效服务网点，负责质保期内外的服务工作。有效服务网点指由供应商自己或者其授权的服务商设立的具有维修和服务能力，并存有相应备品备件的网点。如无有效服务网点，须承诺在合同签订后30日内建立，并向采购人报备。（提供证明材料并加盖公章）</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7.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包括制造商）依法承担全部责任。</w:t>
      </w:r>
    </w:p>
    <w:bookmarkEnd w:id="4"/>
    <w:p>
      <w:pPr>
        <w:widowControl/>
        <w:spacing w:line="360" w:lineRule="auto"/>
        <w:ind w:firstLine="482" w:firstLineChars="200"/>
        <w:jc w:val="left"/>
        <w:rPr>
          <w:color w:val="auto"/>
        </w:rPr>
      </w:pPr>
      <w:r>
        <w:rPr>
          <w:rFonts w:hint="eastAsia" w:ascii="宋体" w:hAnsi="宋体" w:cs="宋体"/>
          <w:b/>
          <w:bCs/>
          <w:color w:val="191919"/>
          <w:kern w:val="0"/>
          <w:sz w:val="24"/>
          <w:shd w:val="clear" w:color="auto" w:fill="FFFFFF"/>
        </w:rPr>
        <w:t>四、竞争性谈判</w:t>
      </w:r>
      <w:r>
        <w:rPr>
          <w:rFonts w:hint="eastAsia" w:ascii="宋体" w:hAnsi="宋体" w:cs="宋体"/>
          <w:b/>
          <w:bCs/>
          <w:color w:val="auto"/>
          <w:kern w:val="0"/>
          <w:sz w:val="24"/>
          <w:shd w:val="clear" w:color="auto" w:fill="FFFFFF"/>
        </w:rPr>
        <w:t>文件的获取</w:t>
      </w:r>
    </w:p>
    <w:p>
      <w:pPr>
        <w:widowControl/>
        <w:spacing w:line="360" w:lineRule="auto"/>
        <w:ind w:firstLine="42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发布及登记时间：</w:t>
      </w:r>
      <w:r>
        <w:rPr>
          <w:rFonts w:ascii="宋体" w:hAnsi="宋体" w:cs="宋体"/>
          <w:color w:val="auto"/>
          <w:kern w:val="0"/>
          <w:sz w:val="24"/>
          <w:shd w:val="clear" w:color="auto" w:fill="FFFFFF"/>
        </w:rPr>
        <w:t>202</w:t>
      </w:r>
      <w:r>
        <w:rPr>
          <w:rFonts w:hint="eastAsia" w:ascii="宋体" w:hAnsi="宋体" w:cs="宋体"/>
          <w:color w:val="auto"/>
          <w:kern w:val="0"/>
          <w:sz w:val="24"/>
          <w:shd w:val="clear" w:color="auto" w:fill="FFFFFF"/>
          <w:lang w:val="en-US" w:eastAsia="zh-CN"/>
        </w:rPr>
        <w:t>4</w:t>
      </w:r>
      <w:r>
        <w:rPr>
          <w:rFonts w:ascii="宋体" w:hAnsi="宋体" w:cs="宋体"/>
          <w:color w:val="auto"/>
          <w:kern w:val="0"/>
          <w:sz w:val="24"/>
          <w:shd w:val="clear" w:color="auto" w:fill="FFFFFF"/>
        </w:rPr>
        <w:t>年</w:t>
      </w:r>
      <w:r>
        <w:rPr>
          <w:rFonts w:hint="eastAsia" w:ascii="宋体" w:hAnsi="宋体" w:cs="宋体"/>
          <w:color w:val="auto"/>
          <w:kern w:val="0"/>
          <w:sz w:val="24"/>
          <w:shd w:val="clear" w:color="auto" w:fill="FFFFFF"/>
          <w:lang w:val="en-US" w:eastAsia="zh-CN"/>
        </w:rPr>
        <w:t>1</w:t>
      </w:r>
      <w:r>
        <w:rPr>
          <w:rFonts w:hint="eastAsia" w:ascii="宋体" w:hAnsi="宋体" w:cs="宋体"/>
          <w:color w:val="auto"/>
          <w:kern w:val="0"/>
          <w:sz w:val="24"/>
          <w:shd w:val="clear" w:color="auto" w:fill="FFFFFF"/>
        </w:rPr>
        <w:t>月</w:t>
      </w:r>
      <w:r>
        <w:rPr>
          <w:rFonts w:hint="eastAsia" w:ascii="宋体" w:hAnsi="宋体" w:cs="宋体"/>
          <w:color w:val="auto"/>
          <w:kern w:val="0"/>
          <w:sz w:val="24"/>
          <w:shd w:val="clear" w:color="auto" w:fill="FFFFFF"/>
          <w:lang w:val="en-US" w:eastAsia="zh-CN"/>
        </w:rPr>
        <w:t>17</w:t>
      </w:r>
      <w:r>
        <w:rPr>
          <w:rFonts w:ascii="宋体" w:hAnsi="宋体" w:cs="宋体"/>
          <w:color w:val="auto"/>
          <w:kern w:val="0"/>
          <w:sz w:val="24"/>
          <w:shd w:val="clear" w:color="auto" w:fill="FFFFFF"/>
        </w:rPr>
        <w:t>日至202</w:t>
      </w:r>
      <w:r>
        <w:rPr>
          <w:rFonts w:hint="eastAsia" w:ascii="宋体" w:hAnsi="宋体" w:cs="宋体"/>
          <w:color w:val="auto"/>
          <w:kern w:val="0"/>
          <w:sz w:val="24"/>
          <w:shd w:val="clear" w:color="auto" w:fill="FFFFFF"/>
          <w:lang w:val="en-US" w:eastAsia="zh-CN"/>
        </w:rPr>
        <w:t>4</w:t>
      </w:r>
      <w:r>
        <w:rPr>
          <w:rFonts w:ascii="宋体" w:hAnsi="宋体" w:cs="宋体"/>
          <w:color w:val="auto"/>
          <w:kern w:val="0"/>
          <w:sz w:val="24"/>
          <w:shd w:val="clear" w:color="auto" w:fill="FFFFFF"/>
        </w:rPr>
        <w:t>年</w:t>
      </w:r>
      <w:r>
        <w:rPr>
          <w:rFonts w:hint="eastAsia" w:ascii="宋体" w:hAnsi="宋体" w:cs="宋体"/>
          <w:color w:val="auto"/>
          <w:kern w:val="0"/>
          <w:sz w:val="24"/>
          <w:shd w:val="clear" w:color="auto" w:fill="FFFFFF"/>
          <w:lang w:val="en-US" w:eastAsia="zh-CN"/>
        </w:rPr>
        <w:t>1</w:t>
      </w:r>
      <w:r>
        <w:rPr>
          <w:rFonts w:hint="eastAsia" w:ascii="宋体" w:hAnsi="宋体" w:cs="宋体"/>
          <w:color w:val="auto"/>
          <w:kern w:val="0"/>
          <w:sz w:val="24"/>
          <w:shd w:val="clear" w:color="auto" w:fill="FFFFFF"/>
        </w:rPr>
        <w:t>月</w:t>
      </w:r>
      <w:r>
        <w:rPr>
          <w:rFonts w:hint="eastAsia" w:ascii="宋体" w:hAnsi="宋体" w:cs="宋体"/>
          <w:color w:val="auto"/>
          <w:kern w:val="0"/>
          <w:sz w:val="24"/>
          <w:shd w:val="clear" w:color="auto" w:fill="FFFFFF"/>
          <w:lang w:val="en-US" w:eastAsia="zh-CN"/>
        </w:rPr>
        <w:t>22</w:t>
      </w:r>
      <w:r>
        <w:rPr>
          <w:rFonts w:ascii="宋体" w:hAnsi="宋体" w:cs="宋体"/>
          <w:color w:val="auto"/>
          <w:kern w:val="0"/>
          <w:sz w:val="24"/>
          <w:shd w:val="clear" w:color="auto" w:fill="FFFFFF"/>
        </w:rPr>
        <w:t>日止，每日上午9：00-12：00，下午14：00-17：00（北京时间）。</w:t>
      </w:r>
    </w:p>
    <w:p>
      <w:pPr>
        <w:widowControl/>
        <w:spacing w:line="360" w:lineRule="auto"/>
        <w:ind w:firstLine="42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发放方式：竞争性谈判文件在报名后自行下载，请响应供应商联系采购人进行报名登记，具体报名方式为将响应函（详见第六章 竞争性谈判响应文件格式</w:t>
      </w:r>
      <w:r>
        <w:rPr>
          <w:rFonts w:ascii="宋体" w:hAnsi="宋体" w:cs="宋体"/>
          <w:color w:val="auto"/>
          <w:kern w:val="0"/>
          <w:sz w:val="24"/>
          <w:shd w:val="clear" w:color="auto" w:fill="FFFFFF"/>
        </w:rPr>
        <w:t xml:space="preserve"> </w:t>
      </w:r>
      <w:r>
        <w:rPr>
          <w:rFonts w:hint="eastAsia" w:ascii="宋体" w:hAnsi="宋体" w:cs="宋体"/>
          <w:color w:val="auto"/>
          <w:kern w:val="0"/>
          <w:sz w:val="24"/>
          <w:shd w:val="clear" w:color="auto" w:fill="FFFFFF"/>
        </w:rPr>
        <w:t>附件1：响应函）加盖公司公章同时发至邮箱wangzhen@jscnnet.com，未在文件发放日内完成登记的不得参与本项目。</w:t>
      </w:r>
    </w:p>
    <w:p>
      <w:pPr>
        <w:widowControl/>
        <w:spacing w:line="360" w:lineRule="auto"/>
        <w:ind w:firstLine="42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登记方式：请响应人将该项目负责人姓名、联系电话（手机）、联系信箱发至采购人，超过</w:t>
      </w:r>
      <w:r>
        <w:rPr>
          <w:rFonts w:ascii="宋体" w:hAnsi="宋体" w:cs="宋体"/>
          <w:color w:val="auto"/>
          <w:kern w:val="0"/>
          <w:sz w:val="24"/>
          <w:shd w:val="clear" w:color="auto" w:fill="FFFFFF"/>
        </w:rPr>
        <w:t>202</w:t>
      </w:r>
      <w:r>
        <w:rPr>
          <w:rFonts w:hint="eastAsia" w:ascii="宋体" w:hAnsi="宋体" w:cs="宋体"/>
          <w:color w:val="auto"/>
          <w:kern w:val="0"/>
          <w:sz w:val="24"/>
          <w:shd w:val="clear" w:color="auto" w:fill="FFFFFF"/>
          <w:lang w:val="en-US" w:eastAsia="zh-CN"/>
        </w:rPr>
        <w:t>4</w:t>
      </w:r>
      <w:r>
        <w:rPr>
          <w:rFonts w:ascii="宋体" w:hAnsi="宋体" w:cs="宋体"/>
          <w:color w:val="auto"/>
          <w:kern w:val="0"/>
          <w:sz w:val="24"/>
          <w:shd w:val="clear" w:color="auto" w:fill="FFFFFF"/>
        </w:rPr>
        <w:t>年</w:t>
      </w:r>
      <w:r>
        <w:rPr>
          <w:rFonts w:hint="eastAsia" w:ascii="宋体" w:hAnsi="宋体" w:cs="宋体"/>
          <w:color w:val="auto"/>
          <w:kern w:val="0"/>
          <w:sz w:val="24"/>
          <w:shd w:val="clear" w:color="auto" w:fill="FFFFFF"/>
        </w:rPr>
        <w:t>1月</w:t>
      </w:r>
      <w:r>
        <w:rPr>
          <w:rFonts w:hint="eastAsia" w:ascii="宋体" w:hAnsi="宋体" w:cs="宋体"/>
          <w:color w:val="auto"/>
          <w:kern w:val="0"/>
          <w:sz w:val="24"/>
          <w:shd w:val="clear" w:color="auto" w:fill="FFFFFF"/>
          <w:lang w:val="en-US" w:eastAsia="zh-CN"/>
        </w:rPr>
        <w:t>22</w:t>
      </w:r>
      <w:r>
        <w:rPr>
          <w:rFonts w:ascii="宋体" w:hAnsi="宋体" w:cs="宋体"/>
          <w:color w:val="auto"/>
          <w:kern w:val="0"/>
          <w:sz w:val="24"/>
          <w:shd w:val="clear" w:color="auto" w:fill="FFFFFF"/>
        </w:rPr>
        <w:t>日下午17:00再登记的视为无效。</w:t>
      </w:r>
    </w:p>
    <w:p>
      <w:pPr>
        <w:widowControl/>
        <w:spacing w:line="360" w:lineRule="auto"/>
        <w:ind w:firstLine="42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项目联系人：王东明 025-87231595    王真025-8723</w:t>
      </w:r>
      <w:r>
        <w:rPr>
          <w:rFonts w:ascii="宋体" w:hAnsi="宋体" w:cs="宋体"/>
          <w:color w:val="auto"/>
          <w:kern w:val="0"/>
          <w:sz w:val="24"/>
          <w:shd w:val="clear" w:color="auto" w:fill="FFFFFF"/>
        </w:rPr>
        <w:t>1517</w:t>
      </w:r>
    </w:p>
    <w:p>
      <w:pPr>
        <w:widowControl/>
        <w:spacing w:line="360" w:lineRule="auto"/>
        <w:ind w:firstLine="482" w:firstLineChars="200"/>
        <w:jc w:val="left"/>
        <w:rPr>
          <w:color w:val="auto"/>
        </w:rPr>
      </w:pPr>
      <w:r>
        <w:rPr>
          <w:rFonts w:hint="eastAsia" w:ascii="宋体" w:hAnsi="宋体" w:cs="宋体"/>
          <w:b/>
          <w:bCs/>
          <w:color w:val="auto"/>
          <w:kern w:val="0"/>
          <w:sz w:val="24"/>
          <w:shd w:val="clear" w:color="auto" w:fill="FFFFFF"/>
        </w:rPr>
        <w:t>五、响应文件的递交和谈判</w:t>
      </w:r>
    </w:p>
    <w:p>
      <w:pPr>
        <w:widowControl/>
        <w:spacing w:line="360" w:lineRule="auto"/>
        <w:ind w:firstLine="420"/>
        <w:jc w:val="left"/>
        <w:rPr>
          <w:color w:val="auto"/>
        </w:rPr>
      </w:pPr>
      <w:r>
        <w:rPr>
          <w:rFonts w:hint="eastAsia" w:ascii="宋体" w:hAnsi="宋体" w:cs="宋体"/>
          <w:color w:val="auto"/>
          <w:kern w:val="0"/>
          <w:sz w:val="24"/>
          <w:shd w:val="clear" w:color="auto" w:fill="FFFFFF"/>
        </w:rPr>
        <w:t>递交竞争性谈判响应文件截止时间：</w:t>
      </w:r>
      <w:r>
        <w:rPr>
          <w:rFonts w:ascii="宋体" w:hAnsi="宋体" w:cs="宋体"/>
          <w:color w:val="auto"/>
          <w:kern w:val="0"/>
          <w:sz w:val="24"/>
          <w:shd w:val="clear" w:color="auto" w:fill="FFFFFF"/>
        </w:rPr>
        <w:t>202</w:t>
      </w:r>
      <w:r>
        <w:rPr>
          <w:rFonts w:hint="eastAsia" w:ascii="宋体" w:hAnsi="宋体" w:cs="宋体"/>
          <w:color w:val="auto"/>
          <w:kern w:val="0"/>
          <w:sz w:val="24"/>
          <w:shd w:val="clear" w:color="auto" w:fill="FFFFFF"/>
          <w:lang w:val="en-US" w:eastAsia="zh-CN"/>
        </w:rPr>
        <w:t>4</w:t>
      </w:r>
      <w:r>
        <w:rPr>
          <w:rFonts w:hint="eastAsia" w:ascii="宋体" w:hAnsi="宋体" w:cs="宋体"/>
          <w:color w:val="auto"/>
          <w:kern w:val="0"/>
          <w:sz w:val="24"/>
          <w:shd w:val="clear" w:color="auto" w:fill="FFFFFF"/>
        </w:rPr>
        <w:t>年</w:t>
      </w:r>
      <w:r>
        <w:rPr>
          <w:rFonts w:hint="eastAsia" w:ascii="宋体" w:hAnsi="宋体" w:cs="宋体"/>
          <w:color w:val="auto"/>
          <w:kern w:val="0"/>
          <w:sz w:val="24"/>
          <w:shd w:val="clear" w:color="auto" w:fill="FFFFFF"/>
          <w:lang w:val="en-US" w:eastAsia="zh-CN"/>
        </w:rPr>
        <w:t>1</w:t>
      </w:r>
      <w:r>
        <w:rPr>
          <w:rFonts w:hint="eastAsia" w:ascii="宋体" w:hAnsi="宋体" w:cs="宋体"/>
          <w:color w:val="auto"/>
          <w:kern w:val="0"/>
          <w:sz w:val="24"/>
          <w:shd w:val="clear" w:color="auto" w:fill="FFFFFF"/>
        </w:rPr>
        <w:t>月2</w:t>
      </w:r>
      <w:r>
        <w:rPr>
          <w:rFonts w:hint="eastAsia" w:ascii="宋体" w:hAnsi="宋体" w:cs="宋体"/>
          <w:color w:val="auto"/>
          <w:kern w:val="0"/>
          <w:sz w:val="24"/>
          <w:shd w:val="clear" w:color="auto" w:fill="FFFFFF"/>
          <w:lang w:val="en-US" w:eastAsia="zh-CN"/>
        </w:rPr>
        <w:t>5</w:t>
      </w:r>
      <w:r>
        <w:rPr>
          <w:rFonts w:ascii="宋体" w:hAnsi="宋体" w:cs="宋体"/>
          <w:color w:val="auto"/>
          <w:kern w:val="0"/>
          <w:sz w:val="24"/>
          <w:shd w:val="clear" w:color="auto" w:fill="FFFFFF"/>
        </w:rPr>
        <w:t>日</w:t>
      </w:r>
      <w:r>
        <w:rPr>
          <w:rFonts w:hint="eastAsia" w:ascii="宋体" w:hAnsi="宋体" w:cs="宋体"/>
          <w:color w:val="auto"/>
          <w:kern w:val="0"/>
          <w:sz w:val="24"/>
          <w:shd w:val="clear" w:color="auto" w:fill="FFFFFF"/>
        </w:rPr>
        <w:t>下午14</w:t>
      </w:r>
      <w:r>
        <w:rPr>
          <w:rFonts w:ascii="宋体" w:hAnsi="宋体" w:cs="宋体"/>
          <w:color w:val="auto"/>
          <w:kern w:val="0"/>
          <w:sz w:val="24"/>
          <w:shd w:val="clear" w:color="auto" w:fill="FFFFFF"/>
        </w:rPr>
        <w:t>:30</w:t>
      </w:r>
      <w:r>
        <w:rPr>
          <w:rFonts w:hint="eastAsia" w:ascii="宋体" w:hAnsi="宋体" w:cs="宋体"/>
          <w:color w:val="auto"/>
          <w:kern w:val="0"/>
          <w:sz w:val="24"/>
          <w:shd w:val="clear" w:color="auto" w:fill="FFFFFF"/>
        </w:rPr>
        <w:t>，逾期收到或不按照竞争性谈判文件要求密封的响应文件恕不接受。</w:t>
      </w:r>
    </w:p>
    <w:p>
      <w:pPr>
        <w:widowControl/>
        <w:spacing w:line="360" w:lineRule="auto"/>
        <w:ind w:firstLine="420"/>
        <w:jc w:val="left"/>
        <w:rPr>
          <w:color w:val="auto"/>
        </w:rPr>
      </w:pPr>
      <w:r>
        <w:rPr>
          <w:rFonts w:hint="eastAsia" w:ascii="宋体" w:hAnsi="宋体" w:cs="宋体"/>
          <w:color w:val="auto"/>
          <w:kern w:val="0"/>
          <w:sz w:val="24"/>
          <w:shd w:val="clear" w:color="auto" w:fill="FFFFFF"/>
        </w:rPr>
        <w:t>递交竞争性谈判响应文件地点：</w:t>
      </w:r>
      <w:r>
        <w:rPr>
          <w:rFonts w:hint="eastAsia" w:ascii="宋体" w:hAnsi="宋体" w:cs="宋体"/>
          <w:color w:val="191919"/>
          <w:kern w:val="0"/>
          <w:sz w:val="24"/>
          <w:shd w:val="clear" w:color="auto" w:fill="FFFFFF"/>
        </w:rPr>
        <w:t>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号楼4楼</w:t>
      </w:r>
      <w:r>
        <w:rPr>
          <w:rFonts w:hint="eastAsia" w:ascii="宋体" w:hAnsi="宋体" w:cs="宋体"/>
          <w:color w:val="auto"/>
          <w:kern w:val="0"/>
          <w:sz w:val="24"/>
          <w:shd w:val="clear" w:color="auto" w:fill="FFFFFF"/>
          <w:lang w:val="en-US" w:eastAsia="zh-CN"/>
        </w:rPr>
        <w:t>432-2会议室</w:t>
      </w:r>
      <w:bookmarkStart w:id="76" w:name="_GoBack"/>
      <w:bookmarkEnd w:id="76"/>
      <w:r>
        <w:rPr>
          <w:rFonts w:hint="eastAsia" w:ascii="宋体" w:hAnsi="宋体" w:cs="宋体"/>
          <w:color w:val="auto"/>
          <w:kern w:val="0"/>
          <w:sz w:val="24"/>
          <w:shd w:val="clear" w:color="auto" w:fill="FFFFFF"/>
        </w:rPr>
        <w:t>。</w:t>
      </w:r>
    </w:p>
    <w:p>
      <w:pPr>
        <w:widowControl/>
        <w:spacing w:line="360" w:lineRule="auto"/>
        <w:ind w:firstLine="420"/>
        <w:jc w:val="left"/>
        <w:rPr>
          <w:color w:val="auto"/>
        </w:rPr>
      </w:pPr>
      <w:r>
        <w:rPr>
          <w:rFonts w:hint="eastAsia" w:ascii="宋体" w:hAnsi="宋体" w:cs="宋体"/>
          <w:color w:val="auto"/>
          <w:kern w:val="0"/>
          <w:sz w:val="24"/>
          <w:shd w:val="clear" w:color="auto" w:fill="FFFFFF"/>
        </w:rPr>
        <w:t>响应文件接收人：</w:t>
      </w:r>
      <w:r>
        <w:rPr>
          <w:rFonts w:hint="eastAsia" w:ascii="宋体" w:hAnsi="宋体" w:cs="宋体"/>
          <w:color w:val="auto"/>
          <w:kern w:val="0"/>
          <w:sz w:val="24"/>
        </w:rPr>
        <w:t>王真，电话：025-</w:t>
      </w:r>
      <w:r>
        <w:rPr>
          <w:rFonts w:hint="eastAsia" w:ascii="宋体" w:hAnsi="宋体" w:cs="宋体"/>
          <w:color w:val="auto"/>
          <w:kern w:val="0"/>
          <w:sz w:val="24"/>
          <w:shd w:val="clear" w:color="auto" w:fill="FFFFFF"/>
        </w:rPr>
        <w:t>8673</w:t>
      </w:r>
      <w:r>
        <w:rPr>
          <w:rFonts w:ascii="宋体" w:hAnsi="宋体" w:cs="宋体"/>
          <w:color w:val="auto"/>
          <w:kern w:val="0"/>
          <w:sz w:val="24"/>
          <w:shd w:val="clear" w:color="auto" w:fill="FFFFFF"/>
        </w:rPr>
        <w:t>1517</w:t>
      </w:r>
      <w:r>
        <w:rPr>
          <w:rFonts w:ascii="宋体" w:hAnsi="宋体" w:cs="宋体"/>
          <w:color w:val="auto"/>
          <w:kern w:val="0"/>
          <w:sz w:val="24"/>
        </w:rPr>
        <w:t>。</w:t>
      </w:r>
    </w:p>
    <w:p>
      <w:pPr>
        <w:widowControl/>
        <w:spacing w:line="360" w:lineRule="auto"/>
        <w:ind w:firstLine="420"/>
        <w:jc w:val="left"/>
      </w:pPr>
      <w:r>
        <w:rPr>
          <w:rFonts w:hint="eastAsia" w:ascii="宋体" w:hAnsi="宋体" w:cs="宋体"/>
          <w:color w:val="auto"/>
          <w:kern w:val="0"/>
          <w:sz w:val="24"/>
          <w:shd w:val="clear" w:color="auto" w:fill="FFFFFF"/>
        </w:rPr>
        <w:t>竞争性谈判时间：</w:t>
      </w:r>
      <w:r>
        <w:rPr>
          <w:rFonts w:ascii="宋体" w:hAnsi="宋体" w:cs="宋体"/>
          <w:color w:val="auto"/>
          <w:kern w:val="0"/>
          <w:sz w:val="24"/>
          <w:shd w:val="clear" w:color="auto" w:fill="FFFFFF"/>
        </w:rPr>
        <w:t>202</w:t>
      </w:r>
      <w:r>
        <w:rPr>
          <w:rFonts w:hint="eastAsia" w:ascii="宋体" w:hAnsi="宋体" w:cs="宋体"/>
          <w:color w:val="auto"/>
          <w:kern w:val="0"/>
          <w:sz w:val="24"/>
          <w:shd w:val="clear" w:color="auto" w:fill="FFFFFF"/>
          <w:lang w:val="en-US" w:eastAsia="zh-CN"/>
        </w:rPr>
        <w:t>4</w:t>
      </w:r>
      <w:r>
        <w:rPr>
          <w:rFonts w:hint="eastAsia" w:ascii="宋体" w:hAnsi="宋体" w:cs="宋体"/>
          <w:color w:val="auto"/>
          <w:kern w:val="0"/>
          <w:sz w:val="24"/>
          <w:shd w:val="clear" w:color="auto" w:fill="FFFFFF"/>
        </w:rPr>
        <w:t>年1月2</w:t>
      </w:r>
      <w:r>
        <w:rPr>
          <w:rFonts w:hint="eastAsia" w:ascii="宋体" w:hAnsi="宋体" w:cs="宋体"/>
          <w:color w:val="auto"/>
          <w:kern w:val="0"/>
          <w:sz w:val="24"/>
          <w:shd w:val="clear" w:color="auto" w:fill="FFFFFF"/>
          <w:lang w:val="en-US" w:eastAsia="zh-CN"/>
        </w:rPr>
        <w:t>5</w:t>
      </w:r>
      <w:r>
        <w:rPr>
          <w:rFonts w:ascii="宋体" w:hAnsi="宋体" w:cs="宋体"/>
          <w:color w:val="auto"/>
          <w:kern w:val="0"/>
          <w:sz w:val="24"/>
          <w:shd w:val="clear" w:color="auto" w:fill="FFFFFF"/>
        </w:rPr>
        <w:t>日</w:t>
      </w:r>
      <w:r>
        <w:rPr>
          <w:rFonts w:hint="eastAsia" w:ascii="宋体" w:hAnsi="宋体" w:cs="宋体"/>
          <w:color w:val="auto"/>
          <w:kern w:val="0"/>
          <w:sz w:val="24"/>
          <w:shd w:val="clear" w:color="auto" w:fill="FFFFFF"/>
        </w:rPr>
        <w:t>下</w:t>
      </w:r>
      <w:r>
        <w:rPr>
          <w:rFonts w:hint="eastAsia" w:ascii="宋体" w:hAnsi="宋体" w:cs="宋体"/>
          <w:color w:val="191919"/>
          <w:kern w:val="0"/>
          <w:sz w:val="24"/>
          <w:shd w:val="clear" w:color="auto" w:fill="FFFFFF"/>
        </w:rPr>
        <w:t>午14</w:t>
      </w:r>
      <w:r>
        <w:rPr>
          <w:rFonts w:ascii="宋体" w:hAnsi="宋体" w:cs="宋体"/>
          <w:color w:val="191919"/>
          <w:kern w:val="0"/>
          <w:sz w:val="24"/>
          <w:shd w:val="clear" w:color="auto" w:fill="FFFFFF"/>
        </w:rPr>
        <w:t>:30</w:t>
      </w:r>
      <w:r>
        <w:rPr>
          <w:rFonts w:hint="eastAsia" w:ascii="宋体" w:hAnsi="宋体" w:cs="宋体"/>
          <w:color w:val="191919"/>
          <w:kern w:val="0"/>
          <w:sz w:val="24"/>
          <w:shd w:val="clear" w:color="auto" w:fill="FFFFFF"/>
        </w:rPr>
        <w:t>。</w:t>
      </w:r>
    </w:p>
    <w:p>
      <w:pPr>
        <w:widowControl/>
        <w:spacing w:line="360" w:lineRule="auto"/>
        <w:ind w:firstLine="420"/>
        <w:jc w:val="left"/>
      </w:pPr>
      <w:r>
        <w:rPr>
          <w:rFonts w:hint="eastAsia" w:ascii="宋体" w:hAnsi="宋体" w:cs="宋体"/>
          <w:color w:val="191919"/>
          <w:kern w:val="0"/>
          <w:sz w:val="24"/>
          <w:shd w:val="clear" w:color="auto" w:fill="FFFFFF"/>
        </w:rPr>
        <w:t>竞争性谈判地点：南京市玄武区运粮河西路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号楼4楼</w:t>
      </w:r>
      <w:r>
        <w:rPr>
          <w:rFonts w:hint="eastAsia" w:ascii="宋体" w:hAnsi="宋体" w:cs="宋体"/>
          <w:color w:val="auto"/>
          <w:kern w:val="0"/>
          <w:sz w:val="24"/>
          <w:shd w:val="clear" w:color="auto" w:fill="FFFFFF"/>
          <w:lang w:val="en-US" w:eastAsia="zh-CN"/>
        </w:rPr>
        <w:t>432-2会议室</w:t>
      </w:r>
      <w:r>
        <w:rPr>
          <w:rFonts w:hint="eastAsia" w:ascii="宋体" w:hAnsi="宋体" w:cs="宋体"/>
          <w:color w:val="191919"/>
          <w:kern w:val="0"/>
          <w:sz w:val="24"/>
          <w:shd w:val="clear" w:color="auto" w:fill="FFFFFF"/>
        </w:rPr>
        <w:t>。</w:t>
      </w:r>
    </w:p>
    <w:p>
      <w:pPr>
        <w:widowControl/>
        <w:spacing w:line="360" w:lineRule="auto"/>
        <w:ind w:firstLine="482" w:firstLineChars="200"/>
        <w:jc w:val="left"/>
      </w:pPr>
      <w:r>
        <w:rPr>
          <w:rFonts w:hint="eastAsia" w:ascii="宋体" w:hAnsi="宋体" w:cs="宋体"/>
          <w:b/>
          <w:bCs/>
          <w:color w:val="191919"/>
          <w:kern w:val="0"/>
          <w:sz w:val="24"/>
          <w:shd w:val="clear" w:color="auto" w:fill="FFFFFF"/>
        </w:rPr>
        <w:t>六、发布公告的媒介</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本次采购事宜相关公告同时在江苏省广电有线信息网络股份有限公司官网（http://www.jscnnet.com）“招标采购”栏目及中国招标投标公共服务平台（http://www.cebpubservice.com/）上发布，其他媒介转载需注明出处。</w:t>
      </w:r>
    </w:p>
    <w:p>
      <w:pPr>
        <w:spacing w:line="360" w:lineRule="auto"/>
        <w:ind w:firstLine="482" w:firstLineChars="200"/>
        <w:rPr>
          <w:rFonts w:ascii="宋体" w:hAnsi="宋体" w:cs="宋体"/>
          <w:b/>
          <w:kern w:val="0"/>
          <w:sz w:val="24"/>
        </w:rPr>
      </w:pPr>
      <w:r>
        <w:rPr>
          <w:rFonts w:hint="eastAsia" w:ascii="宋体" w:hAnsi="宋体" w:cs="宋体"/>
          <w:b/>
          <w:kern w:val="0"/>
          <w:sz w:val="24"/>
        </w:rPr>
        <w:t>七、其他说明事项</w:t>
      </w:r>
    </w:p>
    <w:p>
      <w:pPr>
        <w:widowControl/>
        <w:spacing w:line="360" w:lineRule="auto"/>
        <w:ind w:firstLine="480" w:firstLineChars="200"/>
        <w:jc w:val="left"/>
        <w:rPr>
          <w:rFonts w:ascii="宋体" w:hAnsi="宋体"/>
          <w:sz w:val="24"/>
        </w:rPr>
      </w:pPr>
      <w:r>
        <w:rPr>
          <w:rFonts w:hint="eastAsia" w:ascii="宋体" w:cs="宋体"/>
          <w:bCs/>
          <w:sz w:val="24"/>
        </w:rPr>
        <w:t>有关本次谈判的事项若存在变动或修改，敬请及时关注网上发布的信息更正公告</w:t>
      </w:r>
      <w:bookmarkStart w:id="5" w:name="bookmark1"/>
      <w:bookmarkEnd w:id="5"/>
      <w:r>
        <w:rPr>
          <w:rFonts w:hint="eastAsia" w:ascii="宋体" w:cs="宋体"/>
          <w:bCs/>
          <w:sz w:val="24"/>
        </w:rPr>
        <w:t>。</w:t>
      </w:r>
      <w:bookmarkEnd w:id="0"/>
      <w:r>
        <w:rPr>
          <w:rFonts w:ascii="宋体" w:hAnsi="宋体"/>
          <w:sz w:val="24"/>
        </w:rPr>
        <w:br w:type="page"/>
      </w:r>
    </w:p>
    <w:p>
      <w:pPr>
        <w:pStyle w:val="2"/>
        <w:numPr>
          <w:ilvl w:val="0"/>
          <w:numId w:val="0"/>
        </w:numPr>
        <w:spacing w:before="0" w:after="0" w:line="360" w:lineRule="auto"/>
        <w:rPr>
          <w:b/>
          <w:sz w:val="36"/>
          <w:szCs w:val="36"/>
        </w:rPr>
      </w:pPr>
      <w:bookmarkStart w:id="6" w:name="_Toc69378616"/>
      <w:bookmarkStart w:id="7" w:name="_Toc227057883"/>
      <w:bookmarkStart w:id="8" w:name="_Toc107822483"/>
      <w:bookmarkStart w:id="9" w:name="_Toc226969276"/>
      <w:r>
        <w:rPr>
          <w:rFonts w:hint="eastAsia"/>
          <w:b/>
          <w:sz w:val="36"/>
          <w:szCs w:val="36"/>
        </w:rPr>
        <w:t>第二章 竞争性谈判</w:t>
      </w:r>
      <w:r>
        <w:rPr>
          <w:b/>
          <w:sz w:val="36"/>
          <w:szCs w:val="36"/>
        </w:rPr>
        <w:t>须知</w:t>
      </w:r>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916"/>
        <w:gridCol w:w="1349"/>
        <w:gridCol w:w="6308"/>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pPr>
              <w:spacing w:line="320" w:lineRule="exact"/>
              <w:jc w:val="center"/>
              <w:rPr>
                <w:b/>
                <w:sz w:val="24"/>
              </w:rPr>
            </w:pPr>
            <w:r>
              <w:rPr>
                <w:rFonts w:hint="eastAsia"/>
                <w:b/>
                <w:sz w:val="24"/>
              </w:rPr>
              <w:t>序号</w:t>
            </w:r>
          </w:p>
        </w:tc>
        <w:tc>
          <w:tcPr>
            <w:tcW w:w="501" w:type="pct"/>
            <w:tcBorders>
              <w:top w:val="single" w:color="auto" w:sz="6" w:space="0"/>
            </w:tcBorders>
            <w:vAlign w:val="center"/>
          </w:tcPr>
          <w:p>
            <w:pPr>
              <w:spacing w:line="320" w:lineRule="exact"/>
              <w:jc w:val="center"/>
              <w:rPr>
                <w:b/>
                <w:sz w:val="24"/>
              </w:rPr>
            </w:pPr>
            <w:r>
              <w:rPr>
                <w:rFonts w:hint="eastAsia"/>
                <w:b/>
                <w:sz w:val="24"/>
              </w:rPr>
              <w:t>条款号</w:t>
            </w:r>
          </w:p>
        </w:tc>
        <w:tc>
          <w:tcPr>
            <w:tcW w:w="738" w:type="pct"/>
            <w:tcBorders>
              <w:top w:val="single" w:color="auto" w:sz="6" w:space="0"/>
            </w:tcBorders>
            <w:vAlign w:val="center"/>
          </w:tcPr>
          <w:p>
            <w:pPr>
              <w:spacing w:line="320" w:lineRule="exact"/>
              <w:jc w:val="center"/>
              <w:rPr>
                <w:b/>
                <w:sz w:val="24"/>
              </w:rPr>
            </w:pPr>
            <w:r>
              <w:rPr>
                <w:rFonts w:hint="eastAsia"/>
                <w:b/>
                <w:sz w:val="24"/>
              </w:rPr>
              <w:t>内容</w:t>
            </w:r>
          </w:p>
        </w:tc>
        <w:tc>
          <w:tcPr>
            <w:tcW w:w="3451" w:type="pct"/>
            <w:tcBorders>
              <w:top w:val="single" w:color="auto" w:sz="6" w:space="0"/>
            </w:tcBorders>
            <w:vAlign w:val="center"/>
          </w:tcPr>
          <w:p>
            <w:pPr>
              <w:spacing w:line="320" w:lineRule="exact"/>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w:t>
            </w:r>
          </w:p>
        </w:tc>
        <w:tc>
          <w:tcPr>
            <w:tcW w:w="501" w:type="pct"/>
            <w:vAlign w:val="center"/>
          </w:tcPr>
          <w:p>
            <w:pPr>
              <w:spacing w:line="320" w:lineRule="exact"/>
              <w:jc w:val="center"/>
              <w:rPr>
                <w:sz w:val="24"/>
              </w:rPr>
            </w:pPr>
            <w:r>
              <w:rPr>
                <w:sz w:val="24"/>
              </w:rPr>
              <w:t>1.1</w:t>
            </w:r>
          </w:p>
        </w:tc>
        <w:tc>
          <w:tcPr>
            <w:tcW w:w="738" w:type="pct"/>
            <w:vAlign w:val="center"/>
          </w:tcPr>
          <w:p>
            <w:pPr>
              <w:spacing w:line="320" w:lineRule="exact"/>
              <w:jc w:val="center"/>
              <w:rPr>
                <w:sz w:val="24"/>
              </w:rPr>
            </w:pPr>
            <w:r>
              <w:rPr>
                <w:rFonts w:hint="eastAsia"/>
                <w:sz w:val="24"/>
              </w:rPr>
              <w:t>采购人</w:t>
            </w:r>
          </w:p>
        </w:tc>
        <w:tc>
          <w:tcPr>
            <w:tcW w:w="3451" w:type="pct"/>
            <w:vAlign w:val="center"/>
          </w:tcPr>
          <w:p>
            <w:pPr>
              <w:spacing w:line="320" w:lineRule="exact"/>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2</w:t>
            </w:r>
          </w:p>
        </w:tc>
        <w:tc>
          <w:tcPr>
            <w:tcW w:w="501" w:type="pct"/>
            <w:vAlign w:val="center"/>
          </w:tcPr>
          <w:p>
            <w:pPr>
              <w:spacing w:line="320" w:lineRule="exact"/>
              <w:jc w:val="center"/>
              <w:rPr>
                <w:sz w:val="24"/>
              </w:rPr>
            </w:pPr>
          </w:p>
        </w:tc>
        <w:tc>
          <w:tcPr>
            <w:tcW w:w="738" w:type="pct"/>
            <w:vAlign w:val="center"/>
          </w:tcPr>
          <w:p>
            <w:pPr>
              <w:spacing w:line="320" w:lineRule="exact"/>
              <w:jc w:val="center"/>
              <w:rPr>
                <w:sz w:val="24"/>
              </w:rPr>
            </w:pPr>
            <w:r>
              <w:rPr>
                <w:rFonts w:hint="eastAsia"/>
                <w:sz w:val="24"/>
              </w:rPr>
              <w:t>代理机构</w:t>
            </w:r>
          </w:p>
        </w:tc>
        <w:tc>
          <w:tcPr>
            <w:tcW w:w="3451" w:type="pct"/>
            <w:vAlign w:val="center"/>
          </w:tcPr>
          <w:p>
            <w:pPr>
              <w:spacing w:line="320" w:lineRule="exact"/>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pPr>
              <w:spacing w:line="320" w:lineRule="exact"/>
              <w:jc w:val="center"/>
              <w:rPr>
                <w:sz w:val="24"/>
              </w:rPr>
            </w:pPr>
            <w:r>
              <w:rPr>
                <w:sz w:val="24"/>
              </w:rPr>
              <w:t>3</w:t>
            </w:r>
          </w:p>
        </w:tc>
        <w:tc>
          <w:tcPr>
            <w:tcW w:w="501" w:type="pct"/>
            <w:vAlign w:val="center"/>
          </w:tcPr>
          <w:p>
            <w:pPr>
              <w:spacing w:line="320" w:lineRule="exact"/>
              <w:jc w:val="center"/>
              <w:rPr>
                <w:sz w:val="24"/>
              </w:rPr>
            </w:pPr>
            <w:r>
              <w:rPr>
                <w:sz w:val="24"/>
              </w:rPr>
              <w:t>1.2</w:t>
            </w:r>
          </w:p>
        </w:tc>
        <w:tc>
          <w:tcPr>
            <w:tcW w:w="738" w:type="pct"/>
            <w:vAlign w:val="center"/>
          </w:tcPr>
          <w:p>
            <w:pPr>
              <w:spacing w:line="320" w:lineRule="exact"/>
              <w:jc w:val="center"/>
              <w:rPr>
                <w:sz w:val="24"/>
              </w:rPr>
            </w:pPr>
            <w:r>
              <w:rPr>
                <w:rFonts w:hint="eastAsia"/>
                <w:sz w:val="24"/>
              </w:rPr>
              <w:t>合格的供应商</w:t>
            </w:r>
          </w:p>
        </w:tc>
        <w:tc>
          <w:tcPr>
            <w:tcW w:w="3451" w:type="pct"/>
            <w:vAlign w:val="center"/>
          </w:tcPr>
          <w:p>
            <w:pPr>
              <w:spacing w:line="320" w:lineRule="exact"/>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4</w:t>
            </w:r>
          </w:p>
        </w:tc>
        <w:tc>
          <w:tcPr>
            <w:tcW w:w="501" w:type="pct"/>
            <w:vAlign w:val="center"/>
          </w:tcPr>
          <w:p>
            <w:pPr>
              <w:spacing w:line="320" w:lineRule="exact"/>
              <w:jc w:val="center"/>
              <w:rPr>
                <w:sz w:val="24"/>
              </w:rPr>
            </w:pPr>
            <w:r>
              <w:rPr>
                <w:sz w:val="24"/>
              </w:rPr>
              <w:t>20.1</w:t>
            </w:r>
          </w:p>
        </w:tc>
        <w:tc>
          <w:tcPr>
            <w:tcW w:w="738" w:type="pct"/>
            <w:vAlign w:val="center"/>
          </w:tcPr>
          <w:p>
            <w:pPr>
              <w:spacing w:line="320" w:lineRule="exact"/>
              <w:jc w:val="center"/>
              <w:rPr>
                <w:sz w:val="24"/>
              </w:rPr>
            </w:pPr>
            <w:r>
              <w:rPr>
                <w:rFonts w:hint="eastAsia"/>
                <w:sz w:val="24"/>
              </w:rPr>
              <w:t>保密</w:t>
            </w:r>
          </w:p>
        </w:tc>
        <w:tc>
          <w:tcPr>
            <w:tcW w:w="3451" w:type="pct"/>
            <w:vAlign w:val="center"/>
          </w:tcPr>
          <w:p>
            <w:pPr>
              <w:spacing w:line="320" w:lineRule="exact"/>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5</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2）</w:t>
            </w:r>
          </w:p>
        </w:tc>
        <w:tc>
          <w:tcPr>
            <w:tcW w:w="738" w:type="pct"/>
            <w:vAlign w:val="center"/>
          </w:tcPr>
          <w:p>
            <w:pPr>
              <w:spacing w:line="320" w:lineRule="exact"/>
              <w:jc w:val="center"/>
              <w:rPr>
                <w:sz w:val="24"/>
              </w:rPr>
            </w:pPr>
            <w:r>
              <w:rPr>
                <w:rFonts w:hint="eastAsia" w:ascii="宋体" w:hAnsi="宋体"/>
                <w:sz w:val="24"/>
              </w:rPr>
              <w:t>资格证明文件</w:t>
            </w:r>
          </w:p>
        </w:tc>
        <w:tc>
          <w:tcPr>
            <w:tcW w:w="3451" w:type="pct"/>
            <w:vAlign w:val="center"/>
          </w:tcPr>
          <w:p>
            <w:pPr>
              <w:spacing w:line="320" w:lineRule="exact"/>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6</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3）</w:t>
            </w:r>
          </w:p>
        </w:tc>
        <w:tc>
          <w:tcPr>
            <w:tcW w:w="738" w:type="pct"/>
            <w:vAlign w:val="center"/>
          </w:tcPr>
          <w:p>
            <w:pPr>
              <w:spacing w:line="320" w:lineRule="exact"/>
              <w:jc w:val="center"/>
              <w:rPr>
                <w:sz w:val="24"/>
              </w:rPr>
            </w:pPr>
            <w:r>
              <w:rPr>
                <w:rFonts w:hint="eastAsia"/>
                <w:sz w:val="24"/>
              </w:rPr>
              <w:t>响应文件的技术部分中必须包括的内容</w:t>
            </w:r>
          </w:p>
        </w:tc>
        <w:tc>
          <w:tcPr>
            <w:tcW w:w="3451" w:type="pct"/>
          </w:tcPr>
          <w:p>
            <w:pPr>
              <w:spacing w:line="320" w:lineRule="exact"/>
              <w:rPr>
                <w:sz w:val="24"/>
              </w:rPr>
            </w:pPr>
            <w:r>
              <w:rPr>
                <w:rFonts w:hint="eastAsia"/>
                <w:sz w:val="24"/>
              </w:rPr>
              <w:t>对第五章《技术需求书》的逐项应答，逐项应答必须按照服务偏离表格式，对照竞争性谈判文件需求，依据供应商本身服务，如实逐条说明所提供产品及</w:t>
            </w:r>
            <w:r>
              <w:rPr>
                <w:sz w:val="24"/>
              </w:rPr>
              <w:t>/</w:t>
            </w:r>
            <w:r>
              <w:rPr>
                <w:rFonts w:hint="eastAsia"/>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7</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6）</w:t>
            </w:r>
          </w:p>
        </w:tc>
        <w:tc>
          <w:tcPr>
            <w:tcW w:w="738" w:type="pct"/>
            <w:vAlign w:val="center"/>
          </w:tcPr>
          <w:p>
            <w:pPr>
              <w:spacing w:line="320" w:lineRule="exact"/>
              <w:jc w:val="center"/>
              <w:rPr>
                <w:sz w:val="24"/>
              </w:rPr>
            </w:pPr>
            <w:r>
              <w:rPr>
                <w:rFonts w:hint="eastAsia"/>
                <w:sz w:val="24"/>
              </w:rPr>
              <w:t>合同文本的提供</w:t>
            </w:r>
          </w:p>
        </w:tc>
        <w:tc>
          <w:tcPr>
            <w:tcW w:w="3451" w:type="pct"/>
            <w:vAlign w:val="center"/>
          </w:tcPr>
          <w:p>
            <w:pPr>
              <w:spacing w:line="320" w:lineRule="exact"/>
              <w:rPr>
                <w:sz w:val="24"/>
              </w:rPr>
            </w:pPr>
            <w:r>
              <w:rPr>
                <w:rFonts w:hint="eastAsia"/>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8</w:t>
            </w:r>
          </w:p>
        </w:tc>
        <w:tc>
          <w:tcPr>
            <w:tcW w:w="501" w:type="pct"/>
            <w:vAlign w:val="center"/>
          </w:tcPr>
          <w:p>
            <w:pPr>
              <w:spacing w:line="320" w:lineRule="exact"/>
              <w:jc w:val="center"/>
              <w:rPr>
                <w:sz w:val="24"/>
              </w:rPr>
            </w:pPr>
            <w:r>
              <w:rPr>
                <w:sz w:val="24"/>
              </w:rPr>
              <w:t>8.1</w:t>
            </w:r>
          </w:p>
        </w:tc>
        <w:tc>
          <w:tcPr>
            <w:tcW w:w="738" w:type="pct"/>
            <w:vAlign w:val="center"/>
          </w:tcPr>
          <w:p>
            <w:pPr>
              <w:spacing w:line="320" w:lineRule="exact"/>
              <w:jc w:val="center"/>
              <w:rPr>
                <w:sz w:val="24"/>
              </w:rPr>
            </w:pPr>
            <w:r>
              <w:rPr>
                <w:rFonts w:hint="eastAsia"/>
                <w:sz w:val="24"/>
              </w:rPr>
              <w:t>响应文件的式样和签署</w:t>
            </w:r>
          </w:p>
        </w:tc>
        <w:tc>
          <w:tcPr>
            <w:tcW w:w="3451" w:type="pct"/>
            <w:vAlign w:val="center"/>
          </w:tcPr>
          <w:p>
            <w:pPr>
              <w:spacing w:line="320" w:lineRule="exact"/>
              <w:rPr>
                <w:sz w:val="24"/>
              </w:rPr>
            </w:pPr>
            <w:r>
              <w:rPr>
                <w:rFonts w:hint="eastAsia"/>
                <w:sz w:val="24"/>
              </w:rPr>
              <w:t>响应文件一式3份（</w:t>
            </w:r>
            <w:r>
              <w:rPr>
                <w:sz w:val="24"/>
              </w:rPr>
              <w:t>1</w:t>
            </w:r>
            <w:r>
              <w:rPr>
                <w:rFonts w:hint="eastAsia"/>
                <w:sz w:val="24"/>
              </w:rPr>
              <w:t>份正本、2份副本），电子版本一份（电子版文件内容必须可搜索，U盘形式）。</w:t>
            </w:r>
          </w:p>
          <w:p>
            <w:pPr>
              <w:pStyle w:val="6"/>
              <w:spacing w:line="320" w:lineRule="exact"/>
              <w:rPr>
                <w:sz w:val="24"/>
                <w:szCs w:val="24"/>
              </w:rPr>
            </w:pPr>
            <w:r>
              <w:rPr>
                <w:rFonts w:hint="eastAsia"/>
                <w:sz w:val="24"/>
                <w:szCs w:val="24"/>
              </w:rPr>
              <w:t>响应文件采用软面胶装，并编制目录及逐页编码。特别地，供应商须对第三章《评审办法》中的评分要求逐项说明在响应文件中装订页码，并将该页装订在响应文件的首页。评审办法中要求提供的业绩按照“附件</w:t>
            </w:r>
            <w:r>
              <w:rPr>
                <w:sz w:val="24"/>
                <w:szCs w:val="24"/>
              </w:rPr>
              <w:t>10</w:t>
            </w:r>
            <w:r>
              <w:rPr>
                <w:rFonts w:hint="eastAsia"/>
                <w:sz w:val="24"/>
                <w:szCs w:val="24"/>
              </w:rPr>
              <w:t>：项目业绩及证明文件”编排目录。</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9</w:t>
            </w:r>
          </w:p>
        </w:tc>
        <w:tc>
          <w:tcPr>
            <w:tcW w:w="501" w:type="pct"/>
            <w:vAlign w:val="center"/>
          </w:tcPr>
          <w:p>
            <w:pPr>
              <w:spacing w:line="320" w:lineRule="exact"/>
              <w:jc w:val="center"/>
              <w:rPr>
                <w:sz w:val="24"/>
              </w:rPr>
            </w:pPr>
            <w:r>
              <w:rPr>
                <w:sz w:val="24"/>
              </w:rPr>
              <w:t>9.1</w:t>
            </w:r>
          </w:p>
        </w:tc>
        <w:tc>
          <w:tcPr>
            <w:tcW w:w="738" w:type="pct"/>
            <w:vAlign w:val="center"/>
          </w:tcPr>
          <w:p>
            <w:pPr>
              <w:spacing w:line="320" w:lineRule="exact"/>
              <w:jc w:val="center"/>
              <w:rPr>
                <w:sz w:val="24"/>
              </w:rPr>
            </w:pPr>
            <w:r>
              <w:rPr>
                <w:rFonts w:hint="eastAsia"/>
                <w:sz w:val="24"/>
              </w:rPr>
              <w:t>报价</w:t>
            </w:r>
          </w:p>
        </w:tc>
        <w:tc>
          <w:tcPr>
            <w:tcW w:w="3451" w:type="pct"/>
            <w:vAlign w:val="center"/>
          </w:tcPr>
          <w:p>
            <w:pPr>
              <w:spacing w:line="320" w:lineRule="exact"/>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spacing w:line="320" w:lineRule="exact"/>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10</w:t>
            </w:r>
          </w:p>
        </w:tc>
        <w:tc>
          <w:tcPr>
            <w:tcW w:w="501" w:type="pct"/>
            <w:vAlign w:val="center"/>
          </w:tcPr>
          <w:p>
            <w:pPr>
              <w:spacing w:line="320" w:lineRule="exact"/>
              <w:jc w:val="center"/>
              <w:rPr>
                <w:sz w:val="24"/>
              </w:rPr>
            </w:pPr>
          </w:p>
        </w:tc>
        <w:tc>
          <w:tcPr>
            <w:tcW w:w="738" w:type="pct"/>
            <w:vAlign w:val="center"/>
          </w:tcPr>
          <w:p>
            <w:pPr>
              <w:spacing w:line="320" w:lineRule="exact"/>
              <w:jc w:val="center"/>
              <w:rPr>
                <w:sz w:val="24"/>
              </w:rPr>
            </w:pPr>
            <w:r>
              <w:rPr>
                <w:rFonts w:hint="eastAsia"/>
                <w:sz w:val="24"/>
              </w:rPr>
              <w:t>响应文件的盖章或签字</w:t>
            </w:r>
          </w:p>
        </w:tc>
        <w:tc>
          <w:tcPr>
            <w:tcW w:w="3451" w:type="pct"/>
            <w:vAlign w:val="center"/>
          </w:tcPr>
          <w:p>
            <w:pPr>
              <w:spacing w:line="320" w:lineRule="exact"/>
              <w:rPr>
                <w:sz w:val="24"/>
              </w:rPr>
            </w:pPr>
            <w:r>
              <w:rPr>
                <w:rFonts w:hint="eastAsia"/>
                <w:sz w:val="24"/>
              </w:rPr>
              <w:t>本条款增加规定：</w:t>
            </w:r>
          </w:p>
          <w:p>
            <w:pPr>
              <w:spacing w:line="320" w:lineRule="exact"/>
              <w:rPr>
                <w:sz w:val="24"/>
              </w:rPr>
            </w:pPr>
            <w:r>
              <w:rPr>
                <w:rFonts w:hint="eastAsia"/>
                <w:sz w:val="24"/>
              </w:rPr>
              <w:t>1、竞争性谈判文件第六章“响应文件格式”中有单位名称和法定代表人或其委托代理人签字落款的响应文件必须加盖单位公章。</w:t>
            </w:r>
          </w:p>
          <w:p>
            <w:pPr>
              <w:spacing w:line="320" w:lineRule="exact"/>
              <w:rPr>
                <w:sz w:val="24"/>
              </w:rPr>
            </w:pPr>
            <w:r>
              <w:rPr>
                <w:rFonts w:hint="eastAsia"/>
                <w:sz w:val="24"/>
              </w:rPr>
              <w:t>2、除上述文件以外的其他响应文件组成部分必须加盖骑缝章（骑缝章必须覆盖所有响应文件），或由法定代表人或其委托代理人逐页手签。</w:t>
            </w:r>
          </w:p>
          <w:p>
            <w:pPr>
              <w:spacing w:line="320" w:lineRule="exact"/>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11</w:t>
            </w:r>
          </w:p>
        </w:tc>
        <w:tc>
          <w:tcPr>
            <w:tcW w:w="501" w:type="pct"/>
            <w:vAlign w:val="center"/>
          </w:tcPr>
          <w:p>
            <w:pPr>
              <w:spacing w:line="320" w:lineRule="exact"/>
              <w:jc w:val="center"/>
              <w:rPr>
                <w:sz w:val="24"/>
                <w:szCs w:val="32"/>
              </w:rPr>
            </w:pPr>
            <w:r>
              <w:rPr>
                <w:sz w:val="24"/>
                <w:szCs w:val="32"/>
              </w:rPr>
              <w:t>11.1</w:t>
            </w:r>
          </w:p>
        </w:tc>
        <w:tc>
          <w:tcPr>
            <w:tcW w:w="738" w:type="pct"/>
            <w:vAlign w:val="center"/>
          </w:tcPr>
          <w:p>
            <w:pPr>
              <w:spacing w:line="320" w:lineRule="exact"/>
              <w:jc w:val="center"/>
              <w:rPr>
                <w:sz w:val="24"/>
              </w:rPr>
            </w:pPr>
            <w:r>
              <w:rPr>
                <w:rFonts w:hint="eastAsia"/>
                <w:sz w:val="24"/>
              </w:rPr>
              <w:t>响应有效期</w:t>
            </w:r>
          </w:p>
        </w:tc>
        <w:tc>
          <w:tcPr>
            <w:tcW w:w="3451" w:type="pct"/>
            <w:vAlign w:val="center"/>
          </w:tcPr>
          <w:p>
            <w:pPr>
              <w:spacing w:line="320" w:lineRule="exact"/>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12</w:t>
            </w:r>
          </w:p>
        </w:tc>
        <w:tc>
          <w:tcPr>
            <w:tcW w:w="501" w:type="pct"/>
            <w:vAlign w:val="center"/>
          </w:tcPr>
          <w:p>
            <w:pPr>
              <w:spacing w:line="320" w:lineRule="exact"/>
              <w:jc w:val="center"/>
              <w:rPr>
                <w:sz w:val="24"/>
                <w:szCs w:val="32"/>
              </w:rPr>
            </w:pPr>
            <w:r>
              <w:rPr>
                <w:sz w:val="24"/>
                <w:szCs w:val="32"/>
              </w:rPr>
              <w:t>13.1</w:t>
            </w:r>
          </w:p>
        </w:tc>
        <w:tc>
          <w:tcPr>
            <w:tcW w:w="738" w:type="pct"/>
            <w:vAlign w:val="center"/>
          </w:tcPr>
          <w:p>
            <w:pPr>
              <w:spacing w:line="320" w:lineRule="exact"/>
              <w:jc w:val="center"/>
              <w:rPr>
                <w:sz w:val="24"/>
              </w:rPr>
            </w:pPr>
            <w:r>
              <w:rPr>
                <w:rFonts w:hint="eastAsia"/>
                <w:sz w:val="24"/>
              </w:rPr>
              <w:t>递交响应文件截止时间</w:t>
            </w:r>
          </w:p>
        </w:tc>
        <w:tc>
          <w:tcPr>
            <w:tcW w:w="3451" w:type="pct"/>
            <w:vAlign w:val="center"/>
          </w:tcPr>
          <w:p>
            <w:pPr>
              <w:spacing w:line="320" w:lineRule="exact"/>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pPr>
              <w:spacing w:line="320" w:lineRule="exact"/>
              <w:jc w:val="center"/>
              <w:rPr>
                <w:sz w:val="24"/>
              </w:rPr>
            </w:pPr>
            <w:r>
              <w:rPr>
                <w:sz w:val="24"/>
              </w:rPr>
              <w:t>13</w:t>
            </w:r>
          </w:p>
        </w:tc>
        <w:tc>
          <w:tcPr>
            <w:tcW w:w="501" w:type="pct"/>
            <w:vAlign w:val="center"/>
          </w:tcPr>
          <w:p>
            <w:pPr>
              <w:spacing w:line="320" w:lineRule="exact"/>
              <w:jc w:val="center"/>
              <w:rPr>
                <w:sz w:val="24"/>
                <w:szCs w:val="32"/>
              </w:rPr>
            </w:pPr>
            <w:r>
              <w:rPr>
                <w:sz w:val="24"/>
                <w:szCs w:val="32"/>
              </w:rPr>
              <w:t>1</w:t>
            </w:r>
            <w:r>
              <w:rPr>
                <w:rFonts w:hint="eastAsia"/>
                <w:sz w:val="24"/>
                <w:szCs w:val="32"/>
              </w:rPr>
              <w:t>3</w:t>
            </w:r>
            <w:r>
              <w:rPr>
                <w:sz w:val="24"/>
                <w:szCs w:val="32"/>
              </w:rPr>
              <w:t>.1</w:t>
            </w:r>
          </w:p>
        </w:tc>
        <w:tc>
          <w:tcPr>
            <w:tcW w:w="738" w:type="pct"/>
            <w:vAlign w:val="center"/>
          </w:tcPr>
          <w:p>
            <w:pPr>
              <w:spacing w:line="320" w:lineRule="exact"/>
              <w:jc w:val="center"/>
              <w:rPr>
                <w:sz w:val="24"/>
              </w:rPr>
            </w:pPr>
            <w:r>
              <w:rPr>
                <w:rFonts w:hint="eastAsia"/>
                <w:sz w:val="24"/>
              </w:rPr>
              <w:t>递交响应文件地点</w:t>
            </w:r>
          </w:p>
        </w:tc>
        <w:tc>
          <w:tcPr>
            <w:tcW w:w="3451" w:type="pct"/>
            <w:vAlign w:val="center"/>
          </w:tcPr>
          <w:p>
            <w:pPr>
              <w:spacing w:line="320" w:lineRule="exact"/>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sz w:val="24"/>
              </w:rPr>
            </w:pPr>
            <w:r>
              <w:rPr>
                <w:sz w:val="24"/>
              </w:rPr>
              <w:t>14</w:t>
            </w:r>
          </w:p>
        </w:tc>
        <w:tc>
          <w:tcPr>
            <w:tcW w:w="501" w:type="pct"/>
            <w:vAlign w:val="center"/>
          </w:tcPr>
          <w:p>
            <w:pPr>
              <w:spacing w:line="320" w:lineRule="exact"/>
              <w:jc w:val="center"/>
              <w:rPr>
                <w:sz w:val="24"/>
                <w:szCs w:val="32"/>
              </w:rPr>
            </w:pPr>
            <w:r>
              <w:rPr>
                <w:sz w:val="24"/>
                <w:szCs w:val="32"/>
              </w:rPr>
              <w:t>1</w:t>
            </w:r>
            <w:r>
              <w:rPr>
                <w:rFonts w:hint="eastAsia"/>
                <w:sz w:val="24"/>
                <w:szCs w:val="32"/>
              </w:rPr>
              <w:t>8</w:t>
            </w:r>
            <w:r>
              <w:rPr>
                <w:sz w:val="24"/>
                <w:szCs w:val="32"/>
              </w:rPr>
              <w:t>.</w:t>
            </w:r>
            <w:r>
              <w:rPr>
                <w:rFonts w:hint="eastAsia"/>
                <w:sz w:val="24"/>
                <w:szCs w:val="32"/>
              </w:rPr>
              <w:t>5</w:t>
            </w:r>
          </w:p>
        </w:tc>
        <w:tc>
          <w:tcPr>
            <w:tcW w:w="738" w:type="pct"/>
            <w:vAlign w:val="center"/>
          </w:tcPr>
          <w:p>
            <w:pPr>
              <w:spacing w:line="320" w:lineRule="exact"/>
              <w:jc w:val="center"/>
              <w:rPr>
                <w:sz w:val="24"/>
              </w:rPr>
            </w:pPr>
            <w:r>
              <w:rPr>
                <w:rFonts w:hint="eastAsia"/>
                <w:sz w:val="24"/>
              </w:rPr>
              <w:t>如发现下列情况之一的，其响应文件将可能被拒绝</w:t>
            </w:r>
          </w:p>
        </w:tc>
        <w:tc>
          <w:tcPr>
            <w:tcW w:w="3451" w:type="pct"/>
            <w:vAlign w:val="center"/>
          </w:tcPr>
          <w:p>
            <w:pPr>
              <w:spacing w:line="320" w:lineRule="exact"/>
              <w:rPr>
                <w:sz w:val="24"/>
              </w:rPr>
            </w:pPr>
            <w:r>
              <w:rPr>
                <w:sz w:val="24"/>
              </w:rPr>
              <w:t>1</w:t>
            </w:r>
            <w:r>
              <w:rPr>
                <w:rFonts w:hint="eastAsia"/>
                <w:sz w:val="24"/>
              </w:rPr>
              <w:t>、不满足竞争性谈判文件对合格供应商的基本资质要求的；</w:t>
            </w:r>
          </w:p>
          <w:p>
            <w:pPr>
              <w:spacing w:line="320" w:lineRule="exact"/>
              <w:rPr>
                <w:sz w:val="24"/>
              </w:rPr>
            </w:pPr>
            <w:r>
              <w:rPr>
                <w:rFonts w:hint="eastAsia"/>
                <w:sz w:val="24"/>
              </w:rPr>
              <w:t>2、供应商在响应文件中提供的服务内容及质量不能实质性满足竞争性谈判文件要求或不能提供实质性满足证明的；</w:t>
            </w:r>
          </w:p>
          <w:p>
            <w:pPr>
              <w:spacing w:line="320" w:lineRule="exact"/>
              <w:rPr>
                <w:sz w:val="24"/>
              </w:rPr>
            </w:pPr>
            <w:r>
              <w:rPr>
                <w:rFonts w:hint="eastAsia"/>
                <w:sz w:val="24"/>
              </w:rPr>
              <w:t>3、供应商</w:t>
            </w:r>
            <w:r>
              <w:rPr>
                <w:sz w:val="24"/>
              </w:rPr>
              <w:t>在</w:t>
            </w:r>
            <w:r>
              <w:rPr>
                <w:rFonts w:hint="eastAsia"/>
                <w:sz w:val="24"/>
              </w:rPr>
              <w:t>响应</w:t>
            </w:r>
            <w:r>
              <w:rPr>
                <w:sz w:val="24"/>
              </w:rPr>
              <w:t>文件中提供的</w:t>
            </w:r>
            <w:r>
              <w:rPr>
                <w:rFonts w:hint="eastAsia"/>
                <w:sz w:val="24"/>
              </w:rPr>
              <w:t>产品及/或</w:t>
            </w:r>
            <w:r>
              <w:rPr>
                <w:sz w:val="24"/>
              </w:rPr>
              <w:t>服务存在关键条款（“</w:t>
            </w:r>
            <w:r>
              <w:rPr>
                <w:rFonts w:ascii="Segoe UI Symbol" w:hAnsi="Segoe UI Symbol" w:cs="Segoe UI Symbol"/>
                <w:sz w:val="24"/>
              </w:rPr>
              <w:t>★</w:t>
            </w:r>
            <w:r>
              <w:rPr>
                <w:sz w:val="24"/>
              </w:rPr>
              <w:t>”号条款）</w:t>
            </w:r>
            <w:r>
              <w:rPr>
                <w:rFonts w:hint="eastAsia"/>
                <w:sz w:val="24"/>
              </w:rPr>
              <w:t>或5条及以上非关键条款</w:t>
            </w:r>
            <w:r>
              <w:rPr>
                <w:sz w:val="24"/>
              </w:rPr>
              <w:t>不能实质性满足</w:t>
            </w:r>
            <w:r>
              <w:rPr>
                <w:rFonts w:hint="eastAsia"/>
                <w:sz w:val="24"/>
              </w:rPr>
              <w:t>采购</w:t>
            </w:r>
            <w:r>
              <w:rPr>
                <w:sz w:val="24"/>
              </w:rPr>
              <w:t>文件要求或不能提供实质性满足证明的</w:t>
            </w:r>
            <w:r>
              <w:rPr>
                <w:rFonts w:hint="eastAsia"/>
                <w:sz w:val="24"/>
              </w:rPr>
              <w:t>；</w:t>
            </w:r>
          </w:p>
          <w:p>
            <w:pPr>
              <w:spacing w:line="320" w:lineRule="exact"/>
              <w:rPr>
                <w:sz w:val="24"/>
              </w:rPr>
            </w:pPr>
            <w:r>
              <w:rPr>
                <w:sz w:val="24"/>
              </w:rPr>
              <w:t>4</w:t>
            </w:r>
            <w:r>
              <w:rPr>
                <w:rFonts w:hint="eastAsia"/>
                <w:sz w:val="24"/>
              </w:rPr>
              <w:t>、供应商在响应文件中对于第四章《合同格式》有任何负偏离的；</w:t>
            </w:r>
          </w:p>
          <w:p>
            <w:pPr>
              <w:spacing w:line="320" w:lineRule="exact"/>
              <w:rPr>
                <w:sz w:val="24"/>
              </w:rPr>
            </w:pPr>
            <w:r>
              <w:rPr>
                <w:sz w:val="24"/>
              </w:rPr>
              <w:t>5</w:t>
            </w:r>
            <w:r>
              <w:rPr>
                <w:rFonts w:hint="eastAsia"/>
                <w:sz w:val="24"/>
              </w:rPr>
              <w:t>、响应函、法人代表授权书不按照第六章《附件》的格式提供的；</w:t>
            </w:r>
          </w:p>
          <w:p>
            <w:pPr>
              <w:spacing w:line="320" w:lineRule="exact"/>
              <w:rPr>
                <w:sz w:val="24"/>
              </w:rPr>
            </w:pPr>
            <w:r>
              <w:rPr>
                <w:sz w:val="24"/>
              </w:rPr>
              <w:t>6</w:t>
            </w:r>
            <w:r>
              <w:rPr>
                <w:rFonts w:hint="eastAsia"/>
                <w:sz w:val="24"/>
              </w:rPr>
              <w:t>、资格证明文件不全、失效或不符合竞争性谈判文件要求的；</w:t>
            </w:r>
          </w:p>
          <w:p>
            <w:pPr>
              <w:spacing w:line="320" w:lineRule="exact"/>
              <w:rPr>
                <w:sz w:val="24"/>
              </w:rPr>
            </w:pPr>
            <w:r>
              <w:rPr>
                <w:sz w:val="24"/>
              </w:rPr>
              <w:t>7</w:t>
            </w:r>
            <w:r>
              <w:rPr>
                <w:rFonts w:hint="eastAsia"/>
                <w:sz w:val="24"/>
              </w:rPr>
              <w:t>、响应文件无法定代表人签字，或签字人无法定代表人有效授权的；</w:t>
            </w:r>
          </w:p>
          <w:p>
            <w:pPr>
              <w:spacing w:line="320" w:lineRule="exact"/>
              <w:rPr>
                <w:sz w:val="24"/>
              </w:rPr>
            </w:pPr>
            <w:r>
              <w:rPr>
                <w:sz w:val="24"/>
              </w:rPr>
              <w:t>8</w:t>
            </w:r>
            <w:r>
              <w:rPr>
                <w:rFonts w:hint="eastAsia"/>
                <w:sz w:val="24"/>
              </w:rPr>
              <w:t>、响应文件或响应有效期不足的；</w:t>
            </w:r>
          </w:p>
          <w:p>
            <w:pPr>
              <w:spacing w:line="320" w:lineRule="exact"/>
              <w:rPr>
                <w:sz w:val="24"/>
              </w:rPr>
            </w:pPr>
            <w:r>
              <w:rPr>
                <w:sz w:val="24"/>
              </w:rPr>
              <w:t>9</w:t>
            </w:r>
            <w:r>
              <w:rPr>
                <w:rFonts w:hint="eastAsia"/>
                <w:sz w:val="24"/>
              </w:rPr>
              <w:t>、响应文件中提供虚假或失实资料的；</w:t>
            </w:r>
          </w:p>
          <w:p>
            <w:pPr>
              <w:spacing w:line="320" w:lineRule="exact"/>
              <w:rPr>
                <w:sz w:val="24"/>
              </w:rPr>
            </w:pPr>
            <w:r>
              <w:rPr>
                <w:sz w:val="24"/>
              </w:rPr>
              <w:t>10</w:t>
            </w:r>
            <w:r>
              <w:rPr>
                <w:rFonts w:hint="eastAsia"/>
                <w:sz w:val="24"/>
              </w:rPr>
              <w:t>、未按照竞争性谈判文件规定的方式领取竞争性谈判文件并按要求递交响应文件的；</w:t>
            </w:r>
          </w:p>
          <w:p>
            <w:pPr>
              <w:spacing w:line="320" w:lineRule="exact"/>
              <w:rPr>
                <w:sz w:val="24"/>
              </w:rPr>
            </w:pPr>
            <w:r>
              <w:rPr>
                <w:sz w:val="24"/>
              </w:rPr>
              <w:t>11</w:t>
            </w:r>
            <w:r>
              <w:rPr>
                <w:rFonts w:hint="eastAsia"/>
                <w:sz w:val="24"/>
              </w:rPr>
              <w:t>、评审委员会认为不能实质上满足竞争性谈判文件其它要求的。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sz w:val="24"/>
              </w:rPr>
            </w:pPr>
            <w:r>
              <w:rPr>
                <w:sz w:val="24"/>
              </w:rPr>
              <w:t>15</w:t>
            </w:r>
          </w:p>
        </w:tc>
        <w:tc>
          <w:tcPr>
            <w:tcW w:w="501" w:type="pct"/>
            <w:vAlign w:val="center"/>
          </w:tcPr>
          <w:p>
            <w:pPr>
              <w:spacing w:line="320" w:lineRule="exact"/>
              <w:jc w:val="center"/>
              <w:rPr>
                <w:sz w:val="24"/>
                <w:szCs w:val="32"/>
              </w:rPr>
            </w:pPr>
            <w:r>
              <w:rPr>
                <w:rFonts w:hint="eastAsia"/>
                <w:sz w:val="24"/>
                <w:szCs w:val="32"/>
              </w:rPr>
              <w:t>20</w:t>
            </w:r>
          </w:p>
        </w:tc>
        <w:tc>
          <w:tcPr>
            <w:tcW w:w="738" w:type="pct"/>
            <w:vAlign w:val="center"/>
          </w:tcPr>
          <w:p>
            <w:pPr>
              <w:spacing w:line="320" w:lineRule="exact"/>
              <w:jc w:val="center"/>
              <w:rPr>
                <w:sz w:val="24"/>
              </w:rPr>
            </w:pPr>
            <w:r>
              <w:rPr>
                <w:rFonts w:hint="eastAsia"/>
                <w:sz w:val="24"/>
              </w:rPr>
              <w:t>评审</w:t>
            </w:r>
          </w:p>
        </w:tc>
        <w:tc>
          <w:tcPr>
            <w:tcW w:w="3451" w:type="pct"/>
            <w:vAlign w:val="center"/>
          </w:tcPr>
          <w:p>
            <w:pPr>
              <w:spacing w:line="320" w:lineRule="exact"/>
              <w:rPr>
                <w:sz w:val="24"/>
              </w:rPr>
            </w:pPr>
            <w:r>
              <w:rPr>
                <w:sz w:val="24"/>
              </w:rPr>
              <w:t>1</w:t>
            </w:r>
            <w:r>
              <w:rPr>
                <w:rFonts w:hint="eastAsia"/>
                <w:sz w:val="24"/>
              </w:rPr>
              <w:t>、供应商的法定代表人或其授权代理应按采购人规定的时间到指定的地点，与评审委员会进行谈判并对评审委员会提出的问题作出澄清和答复；</w:t>
            </w:r>
          </w:p>
          <w:p>
            <w:pPr>
              <w:spacing w:line="320" w:lineRule="exact"/>
              <w:rPr>
                <w:sz w:val="24"/>
              </w:rPr>
            </w:pPr>
            <w:r>
              <w:rPr>
                <w:rFonts w:hint="eastAsia"/>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spacing w:line="320" w:lineRule="exact"/>
              <w:rPr>
                <w:sz w:val="24"/>
              </w:rPr>
            </w:pPr>
            <w:r>
              <w:rPr>
                <w:rFonts w:hint="eastAsia"/>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pPr>
              <w:spacing w:line="320" w:lineRule="exact"/>
              <w:rPr>
                <w:sz w:val="24"/>
              </w:rPr>
            </w:pPr>
            <w:r>
              <w:rPr>
                <w:rFonts w:hint="eastAsia"/>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pPr>
              <w:spacing w:line="320" w:lineRule="exact"/>
              <w:rPr>
                <w:sz w:val="24"/>
              </w:rPr>
            </w:pPr>
            <w:r>
              <w:rPr>
                <w:sz w:val="24"/>
              </w:rPr>
              <w:t>5</w:t>
            </w:r>
            <w:r>
              <w:rPr>
                <w:rFonts w:hint="eastAsia"/>
                <w:sz w:val="24"/>
              </w:rPr>
              <w:t>、评审委员会就服务、合同内容和供应商报价进行谈判，谈判后将根据综合评估结果，对供应商按综合得分从高到低排序。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pPr>
              <w:spacing w:line="320" w:lineRule="exact"/>
              <w:jc w:val="center"/>
              <w:rPr>
                <w:sz w:val="24"/>
              </w:rPr>
            </w:pPr>
            <w:r>
              <w:rPr>
                <w:sz w:val="24"/>
              </w:rPr>
              <w:t>16</w:t>
            </w:r>
          </w:p>
        </w:tc>
        <w:tc>
          <w:tcPr>
            <w:tcW w:w="501" w:type="pct"/>
            <w:vAlign w:val="center"/>
          </w:tcPr>
          <w:p>
            <w:pPr>
              <w:spacing w:line="320" w:lineRule="exact"/>
              <w:jc w:val="center"/>
              <w:rPr>
                <w:sz w:val="24"/>
                <w:szCs w:val="32"/>
              </w:rPr>
            </w:pPr>
            <w:r>
              <w:rPr>
                <w:rFonts w:hint="eastAsia"/>
                <w:sz w:val="24"/>
                <w:szCs w:val="32"/>
              </w:rPr>
              <w:t>22.1</w:t>
            </w:r>
          </w:p>
        </w:tc>
        <w:tc>
          <w:tcPr>
            <w:tcW w:w="738" w:type="pct"/>
            <w:vAlign w:val="center"/>
          </w:tcPr>
          <w:p>
            <w:pPr>
              <w:spacing w:line="320" w:lineRule="exact"/>
              <w:jc w:val="center"/>
              <w:rPr>
                <w:sz w:val="24"/>
              </w:rPr>
            </w:pPr>
            <w:r>
              <w:rPr>
                <w:rFonts w:hint="eastAsia"/>
                <w:sz w:val="24"/>
              </w:rPr>
              <w:t>成交</w:t>
            </w:r>
          </w:p>
          <w:p>
            <w:pPr>
              <w:spacing w:line="320" w:lineRule="exact"/>
              <w:jc w:val="center"/>
              <w:rPr>
                <w:sz w:val="24"/>
              </w:rPr>
            </w:pPr>
            <w:r>
              <w:rPr>
                <w:rFonts w:hint="eastAsia"/>
                <w:sz w:val="24"/>
              </w:rPr>
              <w:t>供应商数量</w:t>
            </w:r>
          </w:p>
        </w:tc>
        <w:tc>
          <w:tcPr>
            <w:tcW w:w="3451" w:type="pct"/>
            <w:vAlign w:val="center"/>
          </w:tcPr>
          <w:p>
            <w:pPr>
              <w:spacing w:line="320" w:lineRule="exact"/>
              <w:rPr>
                <w:sz w:val="24"/>
              </w:rPr>
            </w:pPr>
            <w:r>
              <w:rPr>
                <w:rFonts w:hint="eastAsia"/>
                <w:sz w:val="24"/>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pPr>
              <w:spacing w:line="320" w:lineRule="exact"/>
              <w:jc w:val="center"/>
              <w:rPr>
                <w:sz w:val="24"/>
              </w:rPr>
            </w:pPr>
            <w:r>
              <w:rPr>
                <w:sz w:val="24"/>
              </w:rPr>
              <w:t>17</w:t>
            </w:r>
          </w:p>
        </w:tc>
        <w:tc>
          <w:tcPr>
            <w:tcW w:w="501" w:type="pct"/>
            <w:vAlign w:val="center"/>
          </w:tcPr>
          <w:p>
            <w:pPr>
              <w:spacing w:line="320" w:lineRule="exact"/>
              <w:jc w:val="center"/>
              <w:rPr>
                <w:sz w:val="24"/>
                <w:szCs w:val="32"/>
              </w:rPr>
            </w:pPr>
            <w:r>
              <w:rPr>
                <w:rFonts w:hint="eastAsia"/>
                <w:sz w:val="24"/>
                <w:szCs w:val="32"/>
              </w:rPr>
              <w:t>24</w:t>
            </w:r>
          </w:p>
        </w:tc>
        <w:tc>
          <w:tcPr>
            <w:tcW w:w="738" w:type="pct"/>
            <w:vAlign w:val="center"/>
          </w:tcPr>
          <w:p>
            <w:pPr>
              <w:spacing w:line="320" w:lineRule="exact"/>
              <w:jc w:val="center"/>
              <w:rPr>
                <w:sz w:val="24"/>
              </w:rPr>
            </w:pPr>
            <w:r>
              <w:rPr>
                <w:rFonts w:hint="eastAsia"/>
                <w:sz w:val="24"/>
              </w:rPr>
              <w:t>签约</w:t>
            </w:r>
          </w:p>
        </w:tc>
        <w:tc>
          <w:tcPr>
            <w:tcW w:w="3451" w:type="pct"/>
            <w:vAlign w:val="center"/>
          </w:tcPr>
          <w:p>
            <w:pPr>
              <w:spacing w:line="320" w:lineRule="exact"/>
              <w:rPr>
                <w:sz w:val="24"/>
              </w:rPr>
            </w:pPr>
            <w:r>
              <w:rPr>
                <w:rFonts w:hint="eastAsia"/>
                <w:sz w:val="24"/>
              </w:rPr>
              <w:t>采购人与本次成交供应商按本竞争性谈判文件第四章合同格式签订合同。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二、竞争性谈判文件</w:t>
      </w:r>
    </w:p>
    <w:p>
      <w:pPr>
        <w:spacing w:line="360" w:lineRule="auto"/>
        <w:rPr>
          <w:rFonts w:ascii="宋体" w:hAnsi="宋体"/>
          <w:sz w:val="24"/>
        </w:rPr>
      </w:pPr>
      <w:r>
        <w:rPr>
          <w:rFonts w:ascii="宋体" w:hAnsi="宋体"/>
          <w:sz w:val="24"/>
        </w:rPr>
        <w:t>3.</w:t>
      </w:r>
      <w:r>
        <w:rPr>
          <w:rFonts w:hint="eastAsia" w:ascii="宋体" w:hAnsi="宋体"/>
          <w:sz w:val="24"/>
        </w:rPr>
        <w:t>竞争性谈判文件构成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竞争性谈判文件共六章，内容如下：</w:t>
      </w:r>
    </w:p>
    <w:p>
      <w:pPr>
        <w:spacing w:line="360" w:lineRule="auto"/>
        <w:rPr>
          <w:rFonts w:ascii="宋体" w:hAnsi="宋体"/>
          <w:sz w:val="24"/>
        </w:rPr>
      </w:pPr>
      <w:r>
        <w:rPr>
          <w:rFonts w:hint="eastAsia" w:ascii="宋体" w:hAnsi="宋体"/>
          <w:sz w:val="24"/>
        </w:rPr>
        <w:t>第一章竞争性谈判</w:t>
      </w:r>
      <w:r>
        <w:rPr>
          <w:rFonts w:ascii="宋体" w:hAnsi="宋体"/>
          <w:sz w:val="24"/>
        </w:rPr>
        <w:t>公告</w:t>
      </w:r>
    </w:p>
    <w:p>
      <w:pPr>
        <w:spacing w:line="360" w:lineRule="auto"/>
        <w:rPr>
          <w:rFonts w:ascii="宋体" w:hAnsi="宋体"/>
          <w:sz w:val="24"/>
        </w:rPr>
      </w:pPr>
      <w:r>
        <w:rPr>
          <w:rFonts w:hint="eastAsia" w:ascii="宋体" w:hAnsi="宋体"/>
          <w:sz w:val="24"/>
        </w:rPr>
        <w:t>第二章竞争性谈判须知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第六章竞争性谈判响应文件格式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竞争性谈判文件的澄清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任何要求对竞争性谈判文件进行澄清的供应商，均应按规定的递交响应文件截止期五（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竞争性谈判文件的修改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为使供应商准备响应文件时有充分时间对竞争性谈判文件的修改部分进行研究，采购人可自行决定是否延长递交响应文件截止时间。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）天以前的任何时候，无论出于何种原因，采购人可主动地或在解答供应商提出的澄清问题时对竞争性谈判文件进行修改。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竞争性谈判文件的修改将以书面形式在递交响应文件截止时间（包含延长了的递交响应文件截止时间）五（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）天前通知参与竞争性谈判的供应商，并对其具有约束力。供应商在收到上述通知后，应立即向采购人回函确认已收到上述通知，但是供应商的回函不作为其收到上述通知的唯一证据。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或服务的合格性和符合竞争性谈判文件规定的文件；竞争性谈判文件要求的其它文件；供应商认为其它需提供的文件。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）供应商提交的证明其合格且中选后有能力履行合同的资格证明文件（详见《竞争性谈判公告》）以及供应商认为需提供的其它文件和证书。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）竞争性谈判文件要求的其它内容和文件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hint="eastAsia" w:ascii="宋体" w:hAnsi="宋体"/>
          <w:sz w:val="24"/>
          <w:lang w:val="en-US" w:eastAsia="zh-CN"/>
        </w:rPr>
        <w:t>3</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hint="eastAsia" w:ascii="宋体" w:hAnsi="宋体"/>
          <w:sz w:val="24"/>
          <w:lang w:val="en-US" w:eastAsia="zh-CN"/>
        </w:rPr>
        <w:t>2</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如供应商对竞争性谈判文件个别内容不能接受，应在响应文件中另做声明，否则将视为供应商接受竞争性谈判文件全部内容。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报价：人民币报价。供应商应按照竞争性谈判文件要求，在响应文件中报出本项目包含的所有产品和服务的报价（格式见附件）。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采购人收到响应文件的时间不迟于（详见《竞争性谈判公告》）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条规定，通过修改竞争性谈判文件自行决定酌情延长递交响应文件截止时间。在此情况下，采购人和供应商受递交响应文件截止时间制约的所有权利和义务均应延长至新的截止期。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采购人保留对通过初审的供应商进行进一步谈判或议价的权利。</w:t>
      </w:r>
    </w:p>
    <w:p>
      <w:pPr>
        <w:spacing w:line="360" w:lineRule="auto"/>
        <w:rPr>
          <w:rFonts w:ascii="宋体" w:hAnsi="宋体"/>
          <w:b/>
          <w:sz w:val="28"/>
          <w:szCs w:val="28"/>
        </w:rPr>
      </w:pPr>
      <w:r>
        <w:rPr>
          <w:rFonts w:hint="eastAsia" w:ascii="宋体" w:hAnsi="宋体"/>
          <w:b/>
          <w:sz w:val="28"/>
          <w:szCs w:val="28"/>
        </w:rPr>
        <w:t>六、谈判和成交供应商评审</w:t>
      </w:r>
    </w:p>
    <w:p>
      <w:pPr>
        <w:spacing w:line="360" w:lineRule="auto"/>
        <w:rPr>
          <w:rFonts w:ascii="宋体" w:hAnsi="宋体"/>
          <w:sz w:val="24"/>
        </w:rPr>
      </w:pPr>
      <w:r>
        <w:rPr>
          <w:rFonts w:ascii="宋体" w:hAnsi="宋体"/>
          <w:sz w:val="24"/>
        </w:rPr>
        <w:t>18.谈判</w:t>
      </w:r>
    </w:p>
    <w:p>
      <w:pPr>
        <w:spacing w:line="360" w:lineRule="auto"/>
        <w:rPr>
          <w:rFonts w:ascii="宋体" w:hAnsi="宋体"/>
          <w:sz w:val="24"/>
        </w:rPr>
      </w:pPr>
      <w:r>
        <w:rPr>
          <w:rFonts w:ascii="宋体" w:hAnsi="宋体"/>
          <w:sz w:val="24"/>
        </w:rPr>
        <w:t>18.1</w:t>
      </w:r>
      <w:r>
        <w:rPr>
          <w:rFonts w:hint="eastAsia" w:ascii="宋体" w:hAnsi="宋体"/>
          <w:sz w:val="24"/>
        </w:rPr>
        <w:t>获得谈判资格的供应商应按本须知及谈判通知要求准时参加谈判，并在谈判后按要求提供递交其最终报价和相关承诺，否则将视为在报价有效期内撤回竞争性谈判响应文件，其响应文件将被拒绝。</w:t>
      </w:r>
    </w:p>
    <w:p>
      <w:pPr>
        <w:spacing w:line="360" w:lineRule="auto"/>
        <w:rPr>
          <w:rFonts w:ascii="宋体" w:hAnsi="宋体"/>
          <w:sz w:val="24"/>
        </w:rPr>
      </w:pPr>
      <w:r>
        <w:rPr>
          <w:rFonts w:ascii="宋体" w:hAnsi="宋体"/>
          <w:sz w:val="24"/>
        </w:rPr>
        <w:t>18.2谈判开始时间预计为：递交竞争性谈判响应文件截止时间后当天（包括法定节假日，具体时间以采购人的通知为准），供应商应提前做好谈判准备。</w:t>
      </w:r>
    </w:p>
    <w:p>
      <w:pPr>
        <w:spacing w:line="360" w:lineRule="auto"/>
        <w:rPr>
          <w:rFonts w:ascii="宋体" w:hAnsi="宋体"/>
          <w:sz w:val="24"/>
        </w:rPr>
      </w:pPr>
      <w:r>
        <w:rPr>
          <w:rFonts w:ascii="宋体" w:hAnsi="宋体"/>
          <w:sz w:val="24"/>
        </w:rPr>
        <w:t>18.3进行谈判的各供应商应由其法定代表人或本项目的授权代表作为谈判代表，谈判过程中可有商务、技术及售后服务等人员（总人数不超过5人）共同参加谈判。</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评审委员会将与获得谈判资格的各供应商分别进行谈判，谈判内容包括但不限于报价、技术、实施及服务等。在谈判中，谈判的任何一方不得透漏与谈判有关的其它供应商的技术资料、价格和其它信息。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谈判后，参加谈判的供应商应当在规定的时间内按评审委员会的要求递交针对本项目的最终报价和相关承诺。最终报价和相关承诺须由法定代表人或本项目的授权代表签字。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供应商应将其最终报价和相关承诺的正本一份密封装在一个信封中，信封上标明“项目名称”、“供应商名称和地址”字样，并在规定的时间内递交至</w:t>
      </w:r>
      <w:r>
        <w:rPr>
          <w:rFonts w:hint="eastAsia" w:ascii="宋体" w:hAnsi="宋体"/>
          <w:color w:val="000000" w:themeColor="text1"/>
          <w:sz w:val="24"/>
          <w14:textFill>
            <w14:solidFill>
              <w14:schemeClr w14:val="tx1"/>
            </w14:solidFill>
          </w14:textFill>
        </w:rPr>
        <w:t>采购</w:t>
      </w:r>
      <w:r>
        <w:rPr>
          <w:rFonts w:hint="eastAsia" w:ascii="宋体" w:hAnsi="宋体"/>
          <w:sz w:val="24"/>
        </w:rPr>
        <w:t>人。</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谈判后，评审委员会将对参加谈判的供应商进行综合评审，采用综合评审法并考虑以下因素：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19.3评审委员会将根据综合评估结果，对参加谈判且实质上响应竞争性谈判文件要求的供应商按综合得分排序向采购人推荐本项目的成交供应商候选人。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竞争性谈判响应文件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17条和第19条规定外，从递交竞争性谈判响应文件之日起至授予合同期间，供应商不得就与其竞争性谈判响应文件有关的事项与采购人接触。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widowControl/>
        <w:spacing w:line="360" w:lineRule="auto"/>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6"/>
      <w:bookmarkEnd w:id="7"/>
      <w:bookmarkEnd w:id="8"/>
      <w:bookmarkEnd w:id="9"/>
      <w:bookmarkStart w:id="10" w:name="_Toc107822520"/>
      <w:bookmarkStart w:id="11" w:name="_Toc227057922"/>
      <w:bookmarkStart w:id="12" w:name="_Toc226969316"/>
      <w:r>
        <w:br w:type="page"/>
      </w:r>
    </w:p>
    <w:bookmarkEnd w:id="10"/>
    <w:bookmarkEnd w:id="11"/>
    <w:bookmarkEnd w:id="12"/>
    <w:p>
      <w:pPr>
        <w:pStyle w:val="2"/>
        <w:numPr>
          <w:ilvl w:val="0"/>
          <w:numId w:val="0"/>
        </w:numPr>
        <w:spacing w:before="0" w:after="0" w:line="360" w:lineRule="auto"/>
        <w:rPr>
          <w:b/>
          <w:sz w:val="36"/>
          <w:szCs w:val="36"/>
        </w:rPr>
      </w:pPr>
      <w:bookmarkStart w:id="13" w:name="_Toc69378617"/>
      <w:bookmarkStart w:id="14" w:name="_Toc227057958"/>
      <w:bookmarkStart w:id="15" w:name="_Toc226969352"/>
      <w:bookmarkStart w:id="16" w:name="_Toc107822556"/>
      <w:r>
        <w:rPr>
          <w:rFonts w:hint="eastAsia"/>
          <w:b/>
          <w:sz w:val="36"/>
          <w:szCs w:val="36"/>
        </w:rPr>
        <w:t>第三章 评审办法</w:t>
      </w:r>
      <w:bookmarkEnd w:id="13"/>
    </w:p>
    <w:p>
      <w:pPr>
        <w:spacing w:line="360" w:lineRule="auto"/>
        <w:ind w:firstLine="480" w:firstLineChars="200"/>
        <w:jc w:val="left"/>
        <w:rPr>
          <w:rFonts w:ascii="宋体" w:hAnsi="宋体"/>
          <w:sz w:val="24"/>
        </w:rPr>
      </w:pPr>
      <w:r>
        <w:rPr>
          <w:rFonts w:ascii="宋体" w:hAnsi="宋体"/>
          <w:sz w:val="24"/>
        </w:rPr>
        <w:t>供应商须对第三章《评标办法》中的评分要求逐项说明在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3"/>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140"/>
        <w:gridCol w:w="7087"/>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 w:val="24"/>
              </w:rPr>
            </w:pPr>
            <w:r>
              <w:rPr>
                <w:b/>
                <w:kern w:val="0"/>
                <w:sz w:val="24"/>
              </w:rPr>
              <w:t>评标项目</w:t>
            </w:r>
          </w:p>
        </w:tc>
        <w:tc>
          <w:tcPr>
            <w:tcW w:w="708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b/>
                <w:bCs/>
                <w:kern w:val="0"/>
                <w:sz w:val="24"/>
              </w:rPr>
            </w:pPr>
            <w:r>
              <w:rPr>
                <w:b/>
                <w:bCs/>
                <w:kern w:val="0"/>
                <w:sz w:val="24"/>
              </w:rPr>
              <w:t>评分要求</w:t>
            </w:r>
          </w:p>
        </w:tc>
        <w:tc>
          <w:tcPr>
            <w:tcW w:w="1154"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cs="宋体"/>
                <w:b/>
                <w:color w:val="000000"/>
                <w:kern w:val="0"/>
                <w:sz w:val="24"/>
              </w:rPr>
            </w:pPr>
            <w:r>
              <w:rPr>
                <w:rFonts w:hint="eastAsia" w:cs="宋体"/>
                <w:b/>
                <w:color w:val="000000"/>
                <w:kern w:val="0"/>
                <w:sz w:val="24"/>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vAlign w:val="center"/>
          </w:tcPr>
          <w:p>
            <w:pPr>
              <w:widowControl/>
              <w:spacing w:line="300" w:lineRule="auto"/>
              <w:jc w:val="center"/>
              <w:rPr>
                <w:kern w:val="0"/>
                <w:szCs w:val="21"/>
              </w:rPr>
            </w:pPr>
            <w:r>
              <w:rPr>
                <w:kern w:val="0"/>
                <w:szCs w:val="21"/>
              </w:rPr>
              <w:t>1</w:t>
            </w:r>
          </w:p>
        </w:tc>
        <w:tc>
          <w:tcPr>
            <w:tcW w:w="1140" w:type="dxa"/>
            <w:vAlign w:val="center"/>
          </w:tcPr>
          <w:p>
            <w:pPr>
              <w:widowControl/>
              <w:spacing w:line="300" w:lineRule="auto"/>
              <w:jc w:val="center"/>
              <w:rPr>
                <w:kern w:val="0"/>
                <w:szCs w:val="21"/>
              </w:rPr>
            </w:pPr>
            <w:r>
              <w:rPr>
                <w:kern w:val="0"/>
                <w:szCs w:val="21"/>
              </w:rPr>
              <w:t>价格</w:t>
            </w:r>
            <w:r>
              <w:rPr>
                <w:rFonts w:hint="eastAsia"/>
                <w:kern w:val="0"/>
                <w:szCs w:val="21"/>
              </w:rPr>
              <w:t>分</w:t>
            </w:r>
          </w:p>
          <w:p>
            <w:pPr>
              <w:widowControl/>
              <w:spacing w:line="300" w:lineRule="auto"/>
              <w:jc w:val="center"/>
              <w:rPr>
                <w:kern w:val="0"/>
                <w:szCs w:val="21"/>
              </w:rPr>
            </w:pPr>
            <w:r>
              <w:rPr>
                <w:rFonts w:hint="eastAsia"/>
                <w:b/>
                <w:bCs/>
                <w:kern w:val="0"/>
                <w:szCs w:val="21"/>
              </w:rPr>
              <w:t>60</w:t>
            </w:r>
            <w:r>
              <w:rPr>
                <w:b/>
                <w:bCs/>
                <w:kern w:val="0"/>
                <w:szCs w:val="21"/>
              </w:rPr>
              <w:t>分</w:t>
            </w:r>
          </w:p>
        </w:tc>
        <w:tc>
          <w:tcPr>
            <w:tcW w:w="7087" w:type="dxa"/>
          </w:tcPr>
          <w:p>
            <w:pPr>
              <w:widowControl/>
              <w:tabs>
                <w:tab w:val="left" w:pos="0"/>
              </w:tabs>
              <w:rPr>
                <w:b/>
                <w:kern w:val="0"/>
                <w:szCs w:val="21"/>
              </w:rPr>
            </w:pPr>
            <w:r>
              <w:rPr>
                <w:b/>
                <w:kern w:val="0"/>
                <w:szCs w:val="21"/>
              </w:rPr>
              <w:t>A、评标价的计算</w:t>
            </w:r>
          </w:p>
          <w:p>
            <w:pPr>
              <w:widowControl/>
              <w:numPr>
                <w:ilvl w:val="0"/>
                <w:numId w:val="0"/>
              </w:numPr>
              <w:tabs>
                <w:tab w:val="left" w:pos="420"/>
              </w:tabs>
              <w:ind w:leftChars="0"/>
              <w:rPr>
                <w:kern w:val="0"/>
                <w:szCs w:val="21"/>
              </w:rPr>
            </w:pPr>
            <w:r>
              <w:rPr>
                <w:rFonts w:hint="eastAsia"/>
                <w:lang w:val="en-US" w:eastAsia="zh-CN"/>
              </w:rPr>
              <w:t>1、</w:t>
            </w:r>
            <w:r>
              <w:rPr>
                <w:rFonts w:hint="eastAsia"/>
              </w:rPr>
              <w:t>供应商</w:t>
            </w:r>
            <w:r>
              <w:t>的</w:t>
            </w:r>
            <w:r>
              <w:rPr>
                <w:rFonts w:hint="eastAsia"/>
                <w:lang w:val="en-US" w:eastAsia="zh-CN"/>
              </w:rPr>
              <w:t>报价</w:t>
            </w:r>
            <w:r>
              <w:rPr>
                <w:kern w:val="0"/>
                <w:szCs w:val="21"/>
              </w:rPr>
              <w:t>如有缺漏项，</w:t>
            </w:r>
            <w:r>
              <w:rPr>
                <w:rFonts w:hint="eastAsia"/>
                <w:kern w:val="0"/>
                <w:szCs w:val="21"/>
              </w:rPr>
              <w:t>视为不实质性响应</w:t>
            </w:r>
            <w:r>
              <w:rPr>
                <w:kern w:val="0"/>
                <w:szCs w:val="21"/>
              </w:rPr>
              <w:t>；</w:t>
            </w:r>
          </w:p>
          <w:p>
            <w:pPr>
              <w:widowControl/>
              <w:numPr>
                <w:ilvl w:val="0"/>
                <w:numId w:val="0"/>
              </w:numPr>
              <w:tabs>
                <w:tab w:val="left" w:pos="420"/>
              </w:tabs>
              <w:ind w:leftChars="0"/>
              <w:rPr>
                <w:kern w:val="0"/>
                <w:szCs w:val="21"/>
              </w:rPr>
            </w:pPr>
            <w:r>
              <w:rPr>
                <w:rFonts w:hint="eastAsia"/>
                <w:kern w:val="0"/>
                <w:szCs w:val="21"/>
                <w:lang w:val="en-US" w:eastAsia="zh-CN"/>
              </w:rPr>
              <w:t>2、</w:t>
            </w:r>
            <w:r>
              <w:rPr>
                <w:kern w:val="0"/>
                <w:szCs w:val="21"/>
              </w:rPr>
              <w:t>不接受选择性报价或者具有附加条件的报价；</w:t>
            </w:r>
          </w:p>
          <w:p>
            <w:pPr>
              <w:widowControl/>
              <w:numPr>
                <w:ilvl w:val="0"/>
                <w:numId w:val="0"/>
              </w:numPr>
              <w:tabs>
                <w:tab w:val="left" w:pos="420"/>
              </w:tabs>
              <w:ind w:leftChars="0"/>
              <w:rPr>
                <w:kern w:val="0"/>
                <w:szCs w:val="21"/>
              </w:rPr>
            </w:pPr>
            <w:r>
              <w:rPr>
                <w:rFonts w:hint="eastAsia"/>
                <w:kern w:val="0"/>
                <w:szCs w:val="21"/>
                <w:lang w:val="en-US" w:eastAsia="zh-CN"/>
              </w:rPr>
              <w:t>3、</w:t>
            </w:r>
            <w:r>
              <w:rPr>
                <w:rFonts w:hint="eastAsia"/>
                <w:kern w:val="0"/>
                <w:szCs w:val="21"/>
              </w:rPr>
              <w:t>响应文件</w:t>
            </w:r>
            <w:r>
              <w:rPr>
                <w:kern w:val="0"/>
                <w:szCs w:val="21"/>
              </w:rPr>
              <w:t>中如果申报了非</w:t>
            </w:r>
            <w:r>
              <w:rPr>
                <w:rFonts w:hint="eastAsia"/>
                <w:kern w:val="0"/>
                <w:szCs w:val="21"/>
              </w:rPr>
              <w:t>采购文件</w:t>
            </w:r>
            <w:r>
              <w:rPr>
                <w:kern w:val="0"/>
                <w:szCs w:val="21"/>
              </w:rPr>
              <w:t>所要求的服务和产品，评标时不予以折价降低评标价</w:t>
            </w:r>
            <w:r>
              <w:rPr>
                <w:rFonts w:hint="eastAsia"/>
                <w:kern w:val="0"/>
                <w:szCs w:val="21"/>
              </w:rPr>
              <w:t>。</w:t>
            </w:r>
          </w:p>
          <w:p>
            <w:pPr>
              <w:widowControl/>
              <w:tabs>
                <w:tab w:val="left" w:pos="0"/>
              </w:tabs>
              <w:rPr>
                <w:b/>
              </w:rPr>
            </w:pPr>
            <w:r>
              <w:rPr>
                <w:b/>
                <w:kern w:val="0"/>
                <w:szCs w:val="21"/>
              </w:rPr>
              <w:t>B、价格分的计算（保留小数点后2位）</w:t>
            </w:r>
          </w:p>
          <w:p>
            <w:pPr>
              <w:widowControl/>
              <w:tabs>
                <w:tab w:val="left" w:pos="0"/>
              </w:tabs>
              <w:rPr>
                <w:kern w:val="0"/>
                <w:szCs w:val="21"/>
              </w:rPr>
            </w:pPr>
            <w:r>
              <w:rPr>
                <w:rFonts w:hint="eastAsia"/>
                <w:kern w:val="0"/>
                <w:szCs w:val="21"/>
              </w:rPr>
              <w:t>1、评审基准价：满足响应文件要求的所有供应商最终报价</w:t>
            </w:r>
            <w:r>
              <w:rPr>
                <w:rFonts w:hint="eastAsia"/>
                <w:kern w:val="0"/>
                <w:szCs w:val="21"/>
                <w:highlight w:val="none"/>
              </w:rPr>
              <w:t>的平均价</w:t>
            </w:r>
            <w:r>
              <w:rPr>
                <w:rFonts w:hint="eastAsia"/>
                <w:kern w:val="0"/>
                <w:szCs w:val="21"/>
              </w:rPr>
              <w:t>为评审基准价。</w:t>
            </w:r>
          </w:p>
          <w:p>
            <w:pPr>
              <w:widowControl/>
              <w:tabs>
                <w:tab w:val="left" w:pos="402"/>
              </w:tabs>
              <w:rPr>
                <w:kern w:val="0"/>
                <w:szCs w:val="21"/>
              </w:rPr>
            </w:pPr>
            <w:r>
              <w:rPr>
                <w:rFonts w:hint="eastAsia"/>
                <w:kern w:val="0"/>
                <w:szCs w:val="21"/>
              </w:rPr>
              <w:t>2、报价得分=（评审基准价/</w:t>
            </w:r>
            <w:r>
              <w:rPr>
                <w:rFonts w:hint="eastAsia"/>
              </w:rPr>
              <w:t>供应商</w:t>
            </w:r>
            <w:r>
              <w:rPr>
                <w:rFonts w:hint="eastAsia"/>
                <w:kern w:val="0"/>
                <w:szCs w:val="21"/>
              </w:rPr>
              <w:t>报价）×60</w:t>
            </w:r>
            <w:r>
              <w:rPr>
                <w:rFonts w:hint="eastAsia"/>
                <w:kern w:val="0"/>
                <w:szCs w:val="21"/>
                <w:lang w:eastAsia="zh-CN"/>
              </w:rPr>
              <w:t>（</w:t>
            </w:r>
            <w:r>
              <w:rPr>
                <w:rFonts w:hint="eastAsia"/>
                <w:kern w:val="0"/>
                <w:szCs w:val="21"/>
                <w:lang w:val="en-US" w:eastAsia="zh-CN"/>
              </w:rPr>
              <w:t>低于评审基准价的得60分</w:t>
            </w:r>
            <w:r>
              <w:rPr>
                <w:rFonts w:hint="eastAsia"/>
                <w:kern w:val="0"/>
                <w:szCs w:val="21"/>
                <w:lang w:eastAsia="zh-CN"/>
              </w:rPr>
              <w:t>）</w:t>
            </w:r>
            <w:r>
              <w:rPr>
                <w:rFonts w:hint="eastAsia"/>
                <w:kern w:val="0"/>
                <w:szCs w:val="21"/>
              </w:rPr>
              <w:t>。</w:t>
            </w:r>
          </w:p>
        </w:tc>
        <w:tc>
          <w:tcPr>
            <w:tcW w:w="1154"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vAlign w:val="center"/>
          </w:tcPr>
          <w:p>
            <w:pPr>
              <w:jc w:val="center"/>
            </w:pPr>
            <w:r>
              <w:rPr>
                <w:rFonts w:hint="eastAsia"/>
              </w:rPr>
              <w:t>2</w:t>
            </w:r>
          </w:p>
        </w:tc>
        <w:tc>
          <w:tcPr>
            <w:tcW w:w="1140" w:type="dxa"/>
            <w:vAlign w:val="center"/>
          </w:tcPr>
          <w:p>
            <w:pPr>
              <w:rPr>
                <w:rFonts w:ascii="宋体" w:hAnsi="宋体"/>
                <w:szCs w:val="21"/>
              </w:rPr>
            </w:pPr>
            <w:r>
              <w:rPr>
                <w:rFonts w:hint="eastAsia" w:ascii="宋体" w:hAnsi="宋体"/>
                <w:szCs w:val="21"/>
              </w:rPr>
              <w:t>响应文件的完整有效性得分</w:t>
            </w:r>
          </w:p>
          <w:p>
            <w:pPr>
              <w:jc w:val="center"/>
              <w:rPr>
                <w:kern w:val="0"/>
                <w:szCs w:val="21"/>
              </w:rPr>
            </w:pPr>
            <w:r>
              <w:rPr>
                <w:rFonts w:hint="eastAsia"/>
                <w:b/>
                <w:bCs/>
                <w:kern w:val="0"/>
                <w:szCs w:val="21"/>
              </w:rPr>
              <w:t>2分</w:t>
            </w:r>
          </w:p>
        </w:tc>
        <w:tc>
          <w:tcPr>
            <w:tcW w:w="7087" w:type="dxa"/>
          </w:tcPr>
          <w:p>
            <w:pPr>
              <w:widowControl/>
              <w:jc w:val="left"/>
              <w:rPr>
                <w:kern w:val="0"/>
                <w:szCs w:val="21"/>
              </w:rPr>
            </w:pPr>
            <w:r>
              <w:rPr>
                <w:rFonts w:hint="eastAsia"/>
                <w:kern w:val="0"/>
                <w:szCs w:val="21"/>
              </w:rPr>
              <w:t>供应商响应文件完全符合采购文件的形式要件，无缺、漏项；文字清晰、描述清楚得2分；如果细微偏离，酌情扣分；如果发现严重缺漏、偏离或任何弄虚作假的行为，则直接取消参评资格</w:t>
            </w:r>
            <w:r>
              <w:rPr>
                <w:kern w:val="0"/>
                <w:szCs w:val="21"/>
              </w:rPr>
              <w:t>。</w:t>
            </w:r>
          </w:p>
        </w:tc>
        <w:tc>
          <w:tcPr>
            <w:tcW w:w="1154"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98" w:type="dxa"/>
            <w:vAlign w:val="center"/>
          </w:tcPr>
          <w:p>
            <w:pPr>
              <w:jc w:val="center"/>
            </w:pPr>
            <w:r>
              <w:rPr>
                <w:rFonts w:hint="eastAsia"/>
              </w:rPr>
              <w:t>3</w:t>
            </w:r>
          </w:p>
        </w:tc>
        <w:tc>
          <w:tcPr>
            <w:tcW w:w="1140" w:type="dxa"/>
            <w:vAlign w:val="center"/>
          </w:tcPr>
          <w:p>
            <w:pPr>
              <w:jc w:val="center"/>
              <w:rPr>
                <w:kern w:val="0"/>
                <w:szCs w:val="21"/>
              </w:rPr>
            </w:pPr>
            <w:r>
              <w:rPr>
                <w:kern w:val="0"/>
                <w:szCs w:val="21"/>
              </w:rPr>
              <w:t>综合实力</w:t>
            </w:r>
          </w:p>
          <w:p>
            <w:pPr>
              <w:jc w:val="center"/>
              <w:rPr>
                <w:kern w:val="0"/>
                <w:szCs w:val="21"/>
              </w:rPr>
            </w:pPr>
            <w:r>
              <w:rPr>
                <w:rFonts w:hint="eastAsia"/>
                <w:b/>
                <w:bCs/>
                <w:kern w:val="0"/>
                <w:szCs w:val="21"/>
              </w:rPr>
              <w:t>3</w:t>
            </w:r>
            <w:r>
              <w:rPr>
                <w:b/>
                <w:bCs/>
                <w:kern w:val="0"/>
                <w:szCs w:val="21"/>
              </w:rPr>
              <w:t>分</w:t>
            </w:r>
          </w:p>
        </w:tc>
        <w:tc>
          <w:tcPr>
            <w:tcW w:w="7087" w:type="dxa"/>
          </w:tcPr>
          <w:p>
            <w:pPr>
              <w:widowControl/>
              <w:jc w:val="left"/>
              <w:rPr>
                <w:kern w:val="0"/>
                <w:szCs w:val="21"/>
              </w:rPr>
            </w:pPr>
            <w:r>
              <w:rPr>
                <w:kern w:val="0"/>
                <w:szCs w:val="21"/>
              </w:rPr>
              <w:t>根据</w:t>
            </w:r>
            <w:r>
              <w:rPr>
                <w:rFonts w:hint="eastAsia"/>
                <w:kern w:val="0"/>
                <w:szCs w:val="21"/>
              </w:rPr>
              <w:t>供应商</w:t>
            </w:r>
            <w:r>
              <w:rPr>
                <w:kern w:val="0"/>
                <w:szCs w:val="21"/>
              </w:rPr>
              <w:t>的企业规模</w:t>
            </w:r>
            <w:r>
              <w:rPr>
                <w:rFonts w:hint="eastAsia"/>
                <w:kern w:val="0"/>
                <w:szCs w:val="21"/>
              </w:rPr>
              <w:t>、</w:t>
            </w:r>
            <w:r>
              <w:rPr>
                <w:kern w:val="0"/>
                <w:szCs w:val="21"/>
              </w:rPr>
              <w:t>业务范围、组织机构、研发机构、软硬件设施、发展情况、财务状况（总资产、负债率、利润等）打分。</w:t>
            </w:r>
          </w:p>
          <w:p>
            <w:pPr>
              <w:widowControl/>
              <w:jc w:val="left"/>
              <w:rPr>
                <w:kern w:val="0"/>
                <w:szCs w:val="21"/>
              </w:rPr>
            </w:pPr>
            <w:r>
              <w:rPr>
                <w:rFonts w:hint="eastAsia"/>
              </w:rPr>
              <w:t>优良(2，3]分；较好[1，2]分；一般[0，1)分</w:t>
            </w:r>
            <w:r>
              <w:rPr>
                <w:rFonts w:hint="eastAsia"/>
                <w:kern w:val="0"/>
                <w:szCs w:val="21"/>
              </w:rPr>
              <w:t>。</w:t>
            </w:r>
          </w:p>
        </w:tc>
        <w:tc>
          <w:tcPr>
            <w:tcW w:w="1154"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98" w:type="dxa"/>
            <w:vAlign w:val="center"/>
          </w:tcPr>
          <w:p>
            <w:pPr>
              <w:widowControl/>
              <w:jc w:val="center"/>
              <w:rPr>
                <w:rFonts w:hint="eastAsia" w:eastAsia="宋体"/>
                <w:kern w:val="0"/>
                <w:szCs w:val="21"/>
                <w:lang w:val="en-US" w:eastAsia="zh-CN"/>
              </w:rPr>
            </w:pPr>
            <w:r>
              <w:rPr>
                <w:rFonts w:hint="eastAsia"/>
                <w:kern w:val="0"/>
                <w:szCs w:val="21"/>
                <w:lang w:val="en-US" w:eastAsia="zh-CN"/>
              </w:rPr>
              <w:t>4</w:t>
            </w:r>
          </w:p>
        </w:tc>
        <w:tc>
          <w:tcPr>
            <w:tcW w:w="1140" w:type="dxa"/>
            <w:vAlign w:val="center"/>
          </w:tcPr>
          <w:p>
            <w:pPr>
              <w:jc w:val="center"/>
              <w:rPr>
                <w:b/>
                <w:bCs/>
                <w:kern w:val="0"/>
                <w:szCs w:val="21"/>
                <w:highlight w:val="none"/>
              </w:rPr>
            </w:pPr>
            <w:r>
              <w:rPr>
                <w:rFonts w:hint="eastAsia"/>
                <w:b w:val="0"/>
                <w:bCs w:val="0"/>
                <w:kern w:val="0"/>
                <w:szCs w:val="21"/>
                <w:highlight w:val="none"/>
              </w:rPr>
              <w:t>企业认证</w:t>
            </w:r>
          </w:p>
          <w:p>
            <w:pPr>
              <w:pStyle w:val="6"/>
              <w:jc w:val="center"/>
              <w:rPr>
                <w:highlight w:val="none"/>
              </w:rPr>
            </w:pPr>
            <w:r>
              <w:rPr>
                <w:rFonts w:hint="eastAsia"/>
                <w:b/>
                <w:bCs/>
                <w:kern w:val="0"/>
                <w:sz w:val="21"/>
                <w:szCs w:val="21"/>
                <w:highlight w:val="none"/>
                <w:lang w:val="en-US" w:eastAsia="zh-CN"/>
              </w:rPr>
              <w:t>4</w:t>
            </w:r>
            <w:r>
              <w:rPr>
                <w:rFonts w:hint="eastAsia"/>
                <w:b/>
                <w:bCs/>
                <w:kern w:val="0"/>
                <w:sz w:val="21"/>
                <w:szCs w:val="21"/>
                <w:highlight w:val="none"/>
              </w:rPr>
              <w:t>分</w:t>
            </w:r>
          </w:p>
        </w:tc>
        <w:tc>
          <w:tcPr>
            <w:tcW w:w="7087" w:type="dxa"/>
            <w:shd w:val="clear" w:color="auto" w:fill="auto"/>
          </w:tcPr>
          <w:p>
            <w:pPr>
              <w:widowControl/>
              <w:numPr>
                <w:ilvl w:val="0"/>
                <w:numId w:val="5"/>
              </w:numPr>
              <w:rPr>
                <w:highlight w:val="none"/>
              </w:rPr>
            </w:pPr>
            <w:r>
              <w:rPr>
                <w:rFonts w:hint="eastAsia"/>
                <w:color w:val="000000"/>
                <w:highlight w:val="none"/>
              </w:rPr>
              <w:t>制造商具有有效期内的ISO2700</w:t>
            </w:r>
            <w:r>
              <w:rPr>
                <w:color w:val="000000"/>
                <w:highlight w:val="none"/>
              </w:rPr>
              <w:t>1</w:t>
            </w:r>
            <w:r>
              <w:rPr>
                <w:rFonts w:hint="eastAsia"/>
                <w:color w:val="000000"/>
                <w:highlight w:val="none"/>
              </w:rPr>
              <w:t>信息安全管理体系认证、ISO2</w:t>
            </w:r>
            <w:r>
              <w:rPr>
                <w:color w:val="000000"/>
                <w:highlight w:val="none"/>
              </w:rPr>
              <w:t>0000</w:t>
            </w:r>
            <w:r>
              <w:rPr>
                <w:rFonts w:hint="eastAsia"/>
                <w:color w:val="000000"/>
                <w:highlight w:val="none"/>
              </w:rPr>
              <w:t>信息技术服务</w:t>
            </w:r>
            <w:r>
              <w:rPr>
                <w:color w:val="000000"/>
                <w:highlight w:val="none"/>
              </w:rPr>
              <w:t>管理</w:t>
            </w:r>
            <w:r>
              <w:rPr>
                <w:rFonts w:hint="eastAsia"/>
                <w:color w:val="000000"/>
                <w:highlight w:val="none"/>
              </w:rPr>
              <w:t>体系</w:t>
            </w:r>
            <w:r>
              <w:rPr>
                <w:color w:val="000000"/>
                <w:highlight w:val="none"/>
              </w:rPr>
              <w:t>认证</w:t>
            </w:r>
            <w:r>
              <w:rPr>
                <w:rFonts w:hint="eastAsia"/>
                <w:color w:val="000000"/>
                <w:highlight w:val="none"/>
              </w:rPr>
              <w:t>证书</w:t>
            </w:r>
            <w:r>
              <w:rPr>
                <w:color w:val="000000"/>
                <w:highlight w:val="none"/>
              </w:rPr>
              <w:t>的，</w:t>
            </w:r>
            <w:r>
              <w:rPr>
                <w:rFonts w:hint="eastAsia"/>
                <w:color w:val="000000"/>
                <w:highlight w:val="none"/>
              </w:rPr>
              <w:t>每</w:t>
            </w:r>
            <w:r>
              <w:rPr>
                <w:color w:val="000000"/>
                <w:highlight w:val="none"/>
              </w:rPr>
              <w:t>具备一项得</w:t>
            </w:r>
            <w:r>
              <w:rPr>
                <w:rFonts w:hint="eastAsia"/>
                <w:color w:val="000000"/>
                <w:highlight w:val="none"/>
              </w:rPr>
              <w:t>1分</w:t>
            </w:r>
            <w:r>
              <w:rPr>
                <w:color w:val="000000"/>
                <w:highlight w:val="none"/>
              </w:rPr>
              <w:t>，最高得</w:t>
            </w:r>
            <w:r>
              <w:rPr>
                <w:rFonts w:hint="eastAsia"/>
                <w:color w:val="000000"/>
                <w:highlight w:val="none"/>
              </w:rPr>
              <w:t>2分。</w:t>
            </w:r>
          </w:p>
          <w:p>
            <w:pPr>
              <w:widowControl/>
              <w:numPr>
                <w:ilvl w:val="0"/>
                <w:numId w:val="5"/>
              </w:numPr>
              <w:rPr>
                <w:highlight w:val="none"/>
              </w:rPr>
            </w:pPr>
            <w:r>
              <w:rPr>
                <w:rFonts w:hint="eastAsia" w:ascii="Times New Roman" w:hAnsi="Times New Roman" w:eastAsia="宋体" w:cs="Times New Roman"/>
                <w:color w:val="000000"/>
                <w:kern w:val="2"/>
                <w:sz w:val="21"/>
                <w:szCs w:val="24"/>
                <w:highlight w:val="none"/>
                <w:lang w:val="en-US" w:eastAsia="zh-CN" w:bidi="ar-SA"/>
              </w:rPr>
              <w:t>制造商具备</w:t>
            </w:r>
            <w:r>
              <w:rPr>
                <w:rFonts w:hint="eastAsia" w:cs="Times New Roman"/>
                <w:color w:val="000000"/>
                <w:kern w:val="2"/>
                <w:sz w:val="21"/>
                <w:szCs w:val="24"/>
                <w:highlight w:val="none"/>
                <w:lang w:val="en-US" w:eastAsia="zh-CN" w:bidi="ar-SA"/>
              </w:rPr>
              <w:t>有效期内</w:t>
            </w:r>
            <w:r>
              <w:rPr>
                <w:rFonts w:hint="eastAsia" w:ascii="Times New Roman" w:hAnsi="Times New Roman" w:eastAsia="宋体" w:cs="Times New Roman"/>
                <w:color w:val="000000"/>
                <w:kern w:val="2"/>
                <w:sz w:val="21"/>
                <w:szCs w:val="24"/>
                <w:highlight w:val="none"/>
                <w:lang w:val="en-US" w:eastAsia="zh-CN" w:bidi="ar-SA"/>
              </w:rPr>
              <w:t>隐私安全管理体系证书、能源管理体系证书的，每提供一份得1分， 最高得2分。</w:t>
            </w:r>
          </w:p>
          <w:p>
            <w:pPr>
              <w:widowControl/>
              <w:numPr>
                <w:ilvl w:val="0"/>
                <w:numId w:val="0"/>
              </w:numPr>
              <w:rPr>
                <w:rFonts w:hint="eastAsia" w:eastAsia="宋体"/>
                <w:highlight w:val="none"/>
                <w:lang w:val="en-US" w:eastAsia="zh-CN"/>
              </w:rPr>
            </w:pPr>
            <w:r>
              <w:rPr>
                <w:rFonts w:hint="eastAsia" w:ascii="宋体" w:hAnsi="宋体"/>
                <w:szCs w:val="21"/>
                <w:highlight w:val="none"/>
              </w:rPr>
              <w:t>须提供有效期内证书复印件</w:t>
            </w:r>
            <w:r>
              <w:rPr>
                <w:rFonts w:hint="eastAsia" w:ascii="宋体" w:hAnsi="宋体"/>
                <w:szCs w:val="21"/>
                <w:highlight w:val="none"/>
                <w:lang w:eastAsia="zh-CN"/>
              </w:rPr>
              <w:t>。</w:t>
            </w:r>
          </w:p>
        </w:tc>
        <w:tc>
          <w:tcPr>
            <w:tcW w:w="1154"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498" w:type="dxa"/>
            <w:vAlign w:val="center"/>
          </w:tcPr>
          <w:p>
            <w:pPr>
              <w:widowControl/>
              <w:jc w:val="center"/>
              <w:rPr>
                <w:rFonts w:hint="eastAsia" w:eastAsia="宋体"/>
                <w:kern w:val="0"/>
                <w:szCs w:val="21"/>
                <w:lang w:eastAsia="zh-CN"/>
              </w:rPr>
            </w:pPr>
            <w:r>
              <w:rPr>
                <w:rFonts w:hint="eastAsia"/>
                <w:kern w:val="0"/>
                <w:szCs w:val="21"/>
                <w:lang w:val="en-US" w:eastAsia="zh-CN"/>
              </w:rPr>
              <w:t>5</w:t>
            </w:r>
          </w:p>
        </w:tc>
        <w:tc>
          <w:tcPr>
            <w:tcW w:w="1140" w:type="dxa"/>
            <w:vAlign w:val="center"/>
          </w:tcPr>
          <w:p>
            <w:pPr>
              <w:jc w:val="center"/>
              <w:rPr>
                <w:kern w:val="0"/>
                <w:szCs w:val="21"/>
              </w:rPr>
            </w:pPr>
            <w:r>
              <w:rPr>
                <w:kern w:val="0"/>
                <w:szCs w:val="21"/>
              </w:rPr>
              <w:t>业绩经验</w:t>
            </w:r>
          </w:p>
          <w:p>
            <w:pPr>
              <w:jc w:val="center"/>
              <w:rPr>
                <w:kern w:val="0"/>
                <w:szCs w:val="21"/>
              </w:rPr>
            </w:pPr>
            <w:r>
              <w:rPr>
                <w:rFonts w:hint="eastAsia"/>
                <w:b/>
                <w:bCs/>
                <w:kern w:val="0"/>
                <w:szCs w:val="21"/>
              </w:rPr>
              <w:t>6</w:t>
            </w:r>
            <w:r>
              <w:rPr>
                <w:b/>
                <w:bCs/>
                <w:kern w:val="0"/>
                <w:szCs w:val="21"/>
              </w:rPr>
              <w:t>分</w:t>
            </w:r>
          </w:p>
        </w:tc>
        <w:tc>
          <w:tcPr>
            <w:tcW w:w="7087" w:type="dxa"/>
            <w:shd w:val="clear" w:color="auto" w:fill="auto"/>
          </w:tcPr>
          <w:p>
            <w:pPr>
              <w:widowControl/>
              <w:rPr>
                <w:szCs w:val="21"/>
              </w:rPr>
            </w:pPr>
            <w:r>
              <w:rPr>
                <w:kern w:val="0"/>
                <w:szCs w:val="21"/>
              </w:rPr>
              <w:t>根据投标产品</w:t>
            </w:r>
            <w:r>
              <w:rPr>
                <w:rFonts w:hint="eastAsia"/>
                <w:kern w:val="0"/>
                <w:szCs w:val="21"/>
              </w:rPr>
              <w:t>自2020年1月1日至投标截止日</w:t>
            </w:r>
            <w:r>
              <w:rPr>
                <w:kern w:val="0"/>
                <w:szCs w:val="21"/>
              </w:rPr>
              <w:t>前</w:t>
            </w:r>
            <w:r>
              <w:rPr>
                <w:rFonts w:hint="eastAsia"/>
                <w:kern w:val="0"/>
                <w:szCs w:val="21"/>
              </w:rPr>
              <w:t>（以合同签订时间为准）</w:t>
            </w:r>
            <w:r>
              <w:rPr>
                <w:rFonts w:hint="eastAsia"/>
                <w:szCs w:val="21"/>
              </w:rPr>
              <w:t>类似项目的</w:t>
            </w:r>
            <w:r>
              <w:rPr>
                <w:szCs w:val="21"/>
              </w:rPr>
              <w:t>销售业绩情况打分</w:t>
            </w:r>
            <w:r>
              <w:rPr>
                <w:rFonts w:hint="eastAsia"/>
                <w:szCs w:val="21"/>
              </w:rPr>
              <w:t>，从第二个案例起，每提供一个案例得1分，最高得6分。</w:t>
            </w:r>
            <w:r>
              <w:rPr>
                <w:rFonts w:hint="eastAsia"/>
                <w:kern w:val="0"/>
                <w:szCs w:val="21"/>
              </w:rPr>
              <w:t>（</w:t>
            </w:r>
            <w:r>
              <w:rPr>
                <w:rFonts w:hint="eastAsia"/>
                <w:szCs w:val="21"/>
              </w:rPr>
              <w:t>注：要求提供合同复印件，需提供以下页面：包括甲乙双方签字、盖章页面，提供客户联系方式，否则为无效案例</w:t>
            </w:r>
            <w:r>
              <w:rPr>
                <w:rFonts w:hint="eastAsia"/>
                <w:kern w:val="0"/>
                <w:szCs w:val="21"/>
              </w:rPr>
              <w:t>）。</w:t>
            </w:r>
          </w:p>
        </w:tc>
        <w:tc>
          <w:tcPr>
            <w:tcW w:w="1154"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8" w:type="dxa"/>
            <w:vMerge w:val="restart"/>
            <w:vAlign w:val="center"/>
          </w:tcPr>
          <w:p>
            <w:pPr>
              <w:widowControl/>
              <w:jc w:val="center"/>
              <w:rPr>
                <w:rFonts w:hint="eastAsia" w:eastAsia="宋体"/>
                <w:kern w:val="0"/>
                <w:szCs w:val="21"/>
                <w:lang w:eastAsia="zh-CN"/>
              </w:rPr>
            </w:pPr>
            <w:r>
              <w:rPr>
                <w:rFonts w:hint="eastAsia"/>
                <w:kern w:val="0"/>
                <w:szCs w:val="21"/>
                <w:lang w:val="en-US" w:eastAsia="zh-CN"/>
              </w:rPr>
              <w:t>6</w:t>
            </w:r>
          </w:p>
        </w:tc>
        <w:tc>
          <w:tcPr>
            <w:tcW w:w="1140" w:type="dxa"/>
            <w:vMerge w:val="restart"/>
            <w:vAlign w:val="center"/>
          </w:tcPr>
          <w:p>
            <w:pPr>
              <w:jc w:val="center"/>
              <w:rPr>
                <w:kern w:val="0"/>
                <w:szCs w:val="21"/>
              </w:rPr>
            </w:pPr>
            <w:r>
              <w:rPr>
                <w:kern w:val="0"/>
                <w:szCs w:val="21"/>
              </w:rPr>
              <w:t>技术需求</w:t>
            </w:r>
          </w:p>
          <w:p>
            <w:pPr>
              <w:jc w:val="center"/>
              <w:rPr>
                <w:kern w:val="0"/>
                <w:szCs w:val="21"/>
              </w:rPr>
            </w:pPr>
            <w:r>
              <w:rPr>
                <w:rFonts w:hint="eastAsia"/>
                <w:b/>
                <w:bCs/>
                <w:kern w:val="0"/>
                <w:szCs w:val="21"/>
              </w:rPr>
              <w:t>1</w:t>
            </w:r>
            <w:r>
              <w:rPr>
                <w:rFonts w:hint="eastAsia"/>
                <w:b/>
                <w:bCs/>
                <w:kern w:val="0"/>
                <w:szCs w:val="21"/>
                <w:lang w:val="en-US" w:eastAsia="zh-CN"/>
              </w:rPr>
              <w:t>2</w:t>
            </w:r>
            <w:r>
              <w:rPr>
                <w:b/>
                <w:bCs/>
                <w:kern w:val="0"/>
                <w:szCs w:val="21"/>
              </w:rPr>
              <w:t>分</w:t>
            </w:r>
          </w:p>
        </w:tc>
        <w:tc>
          <w:tcPr>
            <w:tcW w:w="7087" w:type="dxa"/>
            <w:shd w:val="clear" w:color="auto" w:fill="auto"/>
            <w:vAlign w:val="center"/>
          </w:tcPr>
          <w:p>
            <w:pPr>
              <w:pStyle w:val="18"/>
              <w:widowControl/>
              <w:spacing w:line="290" w:lineRule="exact"/>
              <w:rPr>
                <w:kern w:val="0"/>
                <w:szCs w:val="21"/>
              </w:rPr>
            </w:pPr>
            <w:r>
              <w:rPr>
                <w:kern w:val="0"/>
                <w:szCs w:val="21"/>
              </w:rPr>
              <w:t>根据投标产品对</w:t>
            </w:r>
            <w:r>
              <w:rPr>
                <w:rFonts w:hint="eastAsia"/>
                <w:kern w:val="0"/>
                <w:szCs w:val="21"/>
              </w:rPr>
              <w:t>采购文件</w:t>
            </w:r>
            <w:r>
              <w:rPr>
                <w:kern w:val="0"/>
                <w:szCs w:val="21"/>
              </w:rPr>
              <w:t>第五章《技术需求书》的偏离情况打分，</w:t>
            </w:r>
            <w:r>
              <w:rPr>
                <w:rFonts w:hint="eastAsia"/>
                <w:kern w:val="0"/>
                <w:szCs w:val="21"/>
              </w:rPr>
              <w:t>基本分10分。</w:t>
            </w:r>
          </w:p>
          <w:p>
            <w:pPr>
              <w:pStyle w:val="18"/>
              <w:widowControl/>
              <w:spacing w:line="290" w:lineRule="exact"/>
              <w:rPr>
                <w:kern w:val="0"/>
                <w:szCs w:val="21"/>
              </w:rPr>
            </w:pPr>
            <w:r>
              <w:rPr>
                <w:rFonts w:hint="eastAsia"/>
                <w:kern w:val="0"/>
                <w:szCs w:val="21"/>
              </w:rPr>
              <w:t>关键条款（“</w:t>
            </w:r>
            <w:r>
              <w:rPr>
                <w:rFonts w:hint="eastAsia" w:ascii="宋体" w:hAnsi="宋体" w:cs="宋体"/>
                <w:color w:val="000000" w:themeColor="text1"/>
                <w:sz w:val="22"/>
                <w:szCs w:val="22"/>
                <w14:textFill>
                  <w14:solidFill>
                    <w14:schemeClr w14:val="tx1"/>
                  </w14:solidFill>
                </w14:textFill>
              </w:rPr>
              <w:sym w:font="Wingdings 2" w:char="00EA"/>
            </w:r>
            <w:r>
              <w:rPr>
                <w:rFonts w:hint="eastAsia"/>
                <w:kern w:val="0"/>
                <w:szCs w:val="21"/>
              </w:rPr>
              <w:t>”号条款）不满足的视为不实质性响应；非关键条款每项不满足扣2分，</w:t>
            </w:r>
            <w:r>
              <w:rPr>
                <w:rFonts w:hint="eastAsia" w:ascii="宋体" w:hAnsi="宋体"/>
                <w:szCs w:val="21"/>
              </w:rPr>
              <w:t>5项</w:t>
            </w:r>
            <w:r>
              <w:rPr>
                <w:rFonts w:ascii="宋体" w:hAnsi="宋体"/>
                <w:szCs w:val="21"/>
              </w:rPr>
              <w:t>及以上非关键性条款不能实质性满足</w:t>
            </w:r>
            <w:r>
              <w:rPr>
                <w:rFonts w:hint="eastAsia" w:ascii="宋体" w:hAnsi="宋体"/>
                <w:szCs w:val="21"/>
              </w:rPr>
              <w:t>采购文件</w:t>
            </w:r>
            <w:r>
              <w:rPr>
                <w:rFonts w:ascii="宋体" w:hAnsi="宋体"/>
                <w:szCs w:val="21"/>
              </w:rPr>
              <w:t>要求或不能提供实质性满足证明的</w:t>
            </w:r>
            <w:r>
              <w:rPr>
                <w:rFonts w:hint="eastAsia"/>
                <w:kern w:val="0"/>
                <w:szCs w:val="21"/>
              </w:rPr>
              <w:t>视为不实质性响应。</w:t>
            </w:r>
          </w:p>
        </w:tc>
        <w:tc>
          <w:tcPr>
            <w:tcW w:w="1154"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8" w:type="dxa"/>
            <w:vMerge w:val="continue"/>
            <w:vAlign w:val="center"/>
          </w:tcPr>
          <w:p>
            <w:pPr>
              <w:jc w:val="center"/>
              <w:rPr>
                <w:kern w:val="0"/>
                <w:szCs w:val="21"/>
              </w:rPr>
            </w:pPr>
          </w:p>
        </w:tc>
        <w:tc>
          <w:tcPr>
            <w:tcW w:w="1140" w:type="dxa"/>
            <w:vMerge w:val="continue"/>
            <w:vAlign w:val="center"/>
          </w:tcPr>
          <w:p>
            <w:pPr>
              <w:jc w:val="center"/>
              <w:rPr>
                <w:b/>
                <w:bCs/>
                <w:kern w:val="0"/>
                <w:szCs w:val="21"/>
              </w:rPr>
            </w:pPr>
          </w:p>
        </w:tc>
        <w:tc>
          <w:tcPr>
            <w:tcW w:w="7087" w:type="dxa"/>
            <w:shd w:val="clear" w:color="auto" w:fill="auto"/>
            <w:vAlign w:val="center"/>
          </w:tcPr>
          <w:p>
            <w:pPr>
              <w:widowControl/>
              <w:snapToGrid w:val="0"/>
              <w:jc w:val="left"/>
              <w:rPr>
                <w:highlight w:val="none"/>
              </w:rPr>
            </w:pPr>
            <w:r>
              <w:rPr>
                <w:rFonts w:hint="eastAsia" w:ascii="宋体" w:hAnsi="宋体" w:cs="宋体"/>
                <w:kern w:val="0"/>
                <w:szCs w:val="21"/>
                <w:highlight w:val="none"/>
              </w:rPr>
              <w:t>根据响应</w:t>
            </w:r>
            <w:r>
              <w:rPr>
                <w:rFonts w:ascii="宋体" w:hAnsi="宋体" w:cs="宋体"/>
                <w:kern w:val="0"/>
                <w:szCs w:val="21"/>
                <w:highlight w:val="none"/>
              </w:rPr>
              <w:t>产品</w:t>
            </w:r>
            <w:r>
              <w:rPr>
                <w:rFonts w:ascii="宋体" w:hAnsi="宋体" w:cs="宋体"/>
                <w:color w:val="auto"/>
                <w:kern w:val="0"/>
                <w:szCs w:val="21"/>
                <w:highlight w:val="none"/>
              </w:rPr>
              <w:t>的</w:t>
            </w:r>
            <w:r>
              <w:rPr>
                <w:rFonts w:hint="eastAsia" w:ascii="宋体" w:hAnsi="宋体" w:cs="宋体"/>
                <w:color w:val="auto"/>
                <w:kern w:val="0"/>
                <w:szCs w:val="21"/>
                <w:highlight w:val="none"/>
              </w:rPr>
              <w:t>检测报告</w:t>
            </w:r>
            <w:r>
              <w:rPr>
                <w:rFonts w:ascii="宋体" w:hAnsi="宋体" w:cs="宋体"/>
                <w:kern w:val="0"/>
                <w:szCs w:val="21"/>
                <w:highlight w:val="none"/>
              </w:rPr>
              <w:t>进行评分</w:t>
            </w:r>
            <w:r>
              <w:rPr>
                <w:rFonts w:hint="eastAsia" w:ascii="宋体" w:hAnsi="宋体" w:cs="宋体"/>
                <w:kern w:val="0"/>
                <w:szCs w:val="21"/>
                <w:highlight w:val="none"/>
              </w:rPr>
              <w:t>。</w:t>
            </w:r>
          </w:p>
          <w:p>
            <w:pPr>
              <w:widowControl/>
              <w:snapToGrid w:val="0"/>
              <w:jc w:val="left"/>
              <w:rPr>
                <w:rFonts w:hint="eastAsia" w:eastAsia="宋体"/>
                <w:kern w:val="0"/>
                <w:szCs w:val="21"/>
                <w:highlight w:val="none"/>
                <w:lang w:eastAsia="zh-CN"/>
              </w:rPr>
            </w:pPr>
            <w:r>
              <w:rPr>
                <w:rFonts w:hint="eastAsia" w:ascii="宋体" w:hAnsi="宋体" w:cs="宋体"/>
                <w:kern w:val="0"/>
                <w:szCs w:val="21"/>
                <w:highlight w:val="none"/>
              </w:rPr>
              <w:t>响应</w:t>
            </w:r>
            <w:r>
              <w:rPr>
                <w:rFonts w:hint="eastAsia"/>
                <w:kern w:val="0"/>
                <w:szCs w:val="21"/>
                <w:highlight w:val="none"/>
              </w:rPr>
              <w:t>产品通过国家无线电监测中心检测中心浪涌（冲击）抗扰度（4KV）测试，得2分（须提供相关检验报告）。</w:t>
            </w:r>
          </w:p>
        </w:tc>
        <w:tc>
          <w:tcPr>
            <w:tcW w:w="1154" w:type="dxa"/>
            <w:vAlign w:val="center"/>
          </w:tcPr>
          <w:p>
            <w:pPr>
              <w:widowControl/>
              <w:jc w:val="left"/>
              <w:rPr>
                <w:rFonts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8" w:type="dxa"/>
            <w:vMerge w:val="restart"/>
            <w:vAlign w:val="center"/>
          </w:tcPr>
          <w:p>
            <w:pPr>
              <w:jc w:val="center"/>
              <w:rPr>
                <w:rFonts w:hint="eastAsia" w:eastAsia="宋体"/>
                <w:kern w:val="0"/>
                <w:szCs w:val="21"/>
                <w:lang w:eastAsia="zh-CN"/>
              </w:rPr>
            </w:pPr>
            <w:r>
              <w:rPr>
                <w:rFonts w:hint="eastAsia"/>
                <w:kern w:val="0"/>
                <w:szCs w:val="21"/>
                <w:lang w:val="en-US" w:eastAsia="zh-CN"/>
              </w:rPr>
              <w:t>7</w:t>
            </w:r>
          </w:p>
        </w:tc>
        <w:tc>
          <w:tcPr>
            <w:tcW w:w="1140" w:type="dxa"/>
            <w:vMerge w:val="restart"/>
            <w:vAlign w:val="center"/>
          </w:tcPr>
          <w:p>
            <w:pPr>
              <w:jc w:val="center"/>
              <w:rPr>
                <w:kern w:val="0"/>
                <w:szCs w:val="21"/>
              </w:rPr>
            </w:pPr>
            <w:r>
              <w:rPr>
                <w:kern w:val="0"/>
                <w:szCs w:val="21"/>
              </w:rPr>
              <w:t>产品及售后服务能力</w:t>
            </w:r>
          </w:p>
          <w:p>
            <w:pPr>
              <w:jc w:val="center"/>
              <w:rPr>
                <w:kern w:val="0"/>
                <w:szCs w:val="21"/>
              </w:rPr>
            </w:pPr>
            <w:r>
              <w:rPr>
                <w:rFonts w:hint="eastAsia"/>
                <w:b/>
                <w:bCs/>
                <w:kern w:val="0"/>
                <w:szCs w:val="21"/>
                <w:lang w:val="en-US" w:eastAsia="zh-CN"/>
              </w:rPr>
              <w:t>9</w:t>
            </w:r>
            <w:r>
              <w:rPr>
                <w:b/>
                <w:bCs/>
                <w:kern w:val="0"/>
                <w:szCs w:val="21"/>
              </w:rPr>
              <w:t>分</w:t>
            </w:r>
          </w:p>
        </w:tc>
        <w:tc>
          <w:tcPr>
            <w:tcW w:w="7087" w:type="dxa"/>
            <w:shd w:val="clear" w:color="auto" w:fill="auto"/>
            <w:vAlign w:val="center"/>
          </w:tcPr>
          <w:p>
            <w:pPr>
              <w:widowControl/>
              <w:rPr>
                <w:szCs w:val="21"/>
                <w:highlight w:val="none"/>
              </w:rPr>
            </w:pPr>
            <w:r>
              <w:rPr>
                <w:rFonts w:hint="eastAsia"/>
                <w:szCs w:val="21"/>
                <w:highlight w:val="none"/>
              </w:rPr>
              <w:t>1、根据</w:t>
            </w:r>
            <w:r>
              <w:rPr>
                <w:rFonts w:hint="eastAsia"/>
                <w:szCs w:val="21"/>
                <w:highlight w:val="none"/>
                <w:lang w:val="en-US" w:eastAsia="zh-CN"/>
              </w:rPr>
              <w:t>响应</w:t>
            </w:r>
            <w:r>
              <w:rPr>
                <w:rFonts w:hint="eastAsia"/>
                <w:szCs w:val="21"/>
                <w:highlight w:val="none"/>
              </w:rPr>
              <w:t>产品相关专利证明文件的类型和数量进行打分。</w:t>
            </w:r>
          </w:p>
          <w:p>
            <w:pPr>
              <w:widowControl/>
              <w:rPr>
                <w:szCs w:val="21"/>
                <w:highlight w:val="none"/>
              </w:rPr>
            </w:pPr>
            <w:r>
              <w:rPr>
                <w:kern w:val="0"/>
                <w:szCs w:val="21"/>
                <w:highlight w:val="none"/>
              </w:rPr>
              <w:t>优良(1，2]分；一般[0，1]分</w:t>
            </w:r>
            <w:r>
              <w:rPr>
                <w:rFonts w:hint="eastAsia"/>
                <w:szCs w:val="21"/>
                <w:highlight w:val="none"/>
              </w:rPr>
              <w:t>。</w:t>
            </w:r>
          </w:p>
          <w:p>
            <w:pPr>
              <w:pStyle w:val="6"/>
              <w:numPr>
                <w:ilvl w:val="0"/>
                <w:numId w:val="0"/>
              </w:numPr>
              <w:ind w:leftChars="0"/>
              <w:rPr>
                <w:rFonts w:hint="eastAsia"/>
                <w:sz w:val="21"/>
                <w:szCs w:val="21"/>
                <w:highlight w:val="none"/>
              </w:rPr>
            </w:pPr>
            <w:r>
              <w:rPr>
                <w:rFonts w:hint="eastAsia"/>
                <w:sz w:val="21"/>
                <w:szCs w:val="21"/>
                <w:highlight w:val="none"/>
                <w:lang w:val="en-US" w:eastAsia="zh-CN"/>
              </w:rPr>
              <w:t>2、</w:t>
            </w:r>
            <w:r>
              <w:rPr>
                <w:rFonts w:hint="eastAsia"/>
                <w:sz w:val="21"/>
                <w:szCs w:val="21"/>
                <w:highlight w:val="none"/>
              </w:rPr>
              <w:t>响应产品具有《中国节能认证》节能产品认证证书的，得2分。（须提供有效期内证书复印件）</w:t>
            </w:r>
          </w:p>
          <w:p>
            <w:pPr>
              <w:numPr>
                <w:ilvl w:val="0"/>
                <w:numId w:val="5"/>
              </w:numPr>
              <w:ind w:left="0" w:leftChars="0" w:firstLine="0" w:firstLineChars="0"/>
              <w:rPr>
                <w:highlight w:val="none"/>
              </w:rPr>
            </w:pPr>
            <w:r>
              <w:rPr>
                <w:rFonts w:hint="eastAsia" w:ascii="宋体" w:hAnsi="宋体" w:cs="宋体"/>
                <w:color w:val="auto"/>
                <w:kern w:val="0"/>
                <w:szCs w:val="21"/>
                <w:highlight w:val="none"/>
              </w:rPr>
              <w:t>响应产品具有信息产业信息安全测评中心提供的功能测试报告</w:t>
            </w:r>
            <w:r>
              <w:rPr>
                <w:rFonts w:hint="eastAsia"/>
                <w:color w:val="auto"/>
                <w:kern w:val="0"/>
                <w:szCs w:val="21"/>
                <w:highlight w:val="none"/>
              </w:rPr>
              <w:t>，得2分</w:t>
            </w:r>
            <w:r>
              <w:rPr>
                <w:rFonts w:hint="eastAsia"/>
                <w:color w:val="auto"/>
                <w:kern w:val="0"/>
                <w:szCs w:val="21"/>
                <w:highlight w:val="none"/>
                <w:lang w:eastAsia="zh-CN"/>
              </w:rPr>
              <w:t>（</w:t>
            </w:r>
            <w:r>
              <w:rPr>
                <w:rFonts w:hint="eastAsia" w:ascii="宋体" w:hAnsi="宋体"/>
                <w:color w:val="auto"/>
                <w:szCs w:val="21"/>
                <w:highlight w:val="none"/>
              </w:rPr>
              <w:t>须提供</w:t>
            </w:r>
            <w:r>
              <w:rPr>
                <w:rFonts w:hint="eastAsia" w:ascii="宋体" w:hAnsi="宋体"/>
                <w:color w:val="auto"/>
                <w:szCs w:val="21"/>
                <w:highlight w:val="none"/>
                <w:lang w:val="en-US" w:eastAsia="zh-CN"/>
              </w:rPr>
              <w:t>功能测试报告等证明文件</w:t>
            </w:r>
            <w:r>
              <w:rPr>
                <w:rFonts w:hint="eastAsia"/>
                <w:color w:val="auto"/>
                <w:kern w:val="0"/>
                <w:szCs w:val="21"/>
                <w:highlight w:val="none"/>
                <w:lang w:eastAsia="zh-CN"/>
              </w:rPr>
              <w:t>）</w:t>
            </w:r>
            <w:r>
              <w:rPr>
                <w:rFonts w:hint="eastAsia"/>
                <w:color w:val="auto"/>
                <w:kern w:val="0"/>
                <w:szCs w:val="21"/>
                <w:highlight w:val="none"/>
              </w:rPr>
              <w:t>。</w:t>
            </w:r>
          </w:p>
        </w:tc>
        <w:tc>
          <w:tcPr>
            <w:tcW w:w="1154" w:type="dxa"/>
            <w:vAlign w:val="center"/>
          </w:tcPr>
          <w:p>
            <w:pPr>
              <w:widowControl/>
              <w:jc w:val="left"/>
              <w:rPr>
                <w:rFonts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8" w:type="dxa"/>
            <w:vMerge w:val="continue"/>
            <w:vAlign w:val="center"/>
          </w:tcPr>
          <w:p>
            <w:pPr>
              <w:jc w:val="center"/>
              <w:rPr>
                <w:kern w:val="0"/>
                <w:szCs w:val="21"/>
              </w:rPr>
            </w:pPr>
          </w:p>
        </w:tc>
        <w:tc>
          <w:tcPr>
            <w:tcW w:w="1140" w:type="dxa"/>
            <w:vMerge w:val="continue"/>
            <w:vAlign w:val="center"/>
          </w:tcPr>
          <w:p>
            <w:pPr>
              <w:jc w:val="center"/>
              <w:rPr>
                <w:kern w:val="0"/>
                <w:szCs w:val="21"/>
              </w:rPr>
            </w:pPr>
          </w:p>
        </w:tc>
        <w:tc>
          <w:tcPr>
            <w:tcW w:w="7087" w:type="dxa"/>
            <w:shd w:val="clear" w:color="auto" w:fill="auto"/>
            <w:vAlign w:val="center"/>
          </w:tcPr>
          <w:p>
            <w:pPr>
              <w:tabs>
                <w:tab w:val="left" w:pos="0"/>
                <w:tab w:val="left" w:pos="402"/>
              </w:tabs>
              <w:rPr>
                <w:rFonts w:ascii="宋体" w:hAnsi="宋体" w:cs="宋体"/>
                <w:kern w:val="0"/>
                <w:szCs w:val="21"/>
              </w:rPr>
            </w:pPr>
            <w:r>
              <w:rPr>
                <w:rFonts w:hint="eastAsia" w:ascii="宋体" w:hAnsi="宋体" w:cs="宋体"/>
                <w:kern w:val="0"/>
                <w:szCs w:val="21"/>
              </w:rPr>
              <w:t>根据供应商和制造商的售后服务体系（包括但不限于售后服务成员安排、驻场维护时间、服务响应、应急方案、应急维护响应时间、故障响应支持、产品升级及维护服务）和技术培训</w:t>
            </w:r>
            <w:r>
              <w:rPr>
                <w:rFonts w:ascii="宋体" w:hAnsi="宋体" w:cs="宋体"/>
                <w:kern w:val="0"/>
                <w:szCs w:val="21"/>
              </w:rPr>
              <w:t>计划</w:t>
            </w:r>
            <w:r>
              <w:rPr>
                <w:rFonts w:hint="eastAsia" w:ascii="宋体" w:hAnsi="宋体" w:cs="宋体"/>
                <w:kern w:val="0"/>
                <w:szCs w:val="21"/>
              </w:rPr>
              <w:t>打分</w:t>
            </w:r>
            <w:r>
              <w:rPr>
                <w:rFonts w:hint="eastAsia" w:ascii="宋体" w:hAnsi="宋体"/>
                <w:kern w:val="0"/>
                <w:szCs w:val="21"/>
              </w:rPr>
              <w:t>。</w:t>
            </w:r>
          </w:p>
          <w:p>
            <w:pPr>
              <w:widowControl/>
              <w:rPr>
                <w:szCs w:val="21"/>
              </w:rPr>
            </w:pPr>
            <w:r>
              <w:rPr>
                <w:rFonts w:hint="eastAsia"/>
              </w:rPr>
              <w:t>优良(2，3]分；较好[1，2]分；一般[0，1)分</w:t>
            </w:r>
            <w:r>
              <w:rPr>
                <w:rFonts w:hint="eastAsia" w:ascii="宋体" w:hAnsi="宋体"/>
              </w:rPr>
              <w:t>。</w:t>
            </w:r>
          </w:p>
        </w:tc>
        <w:tc>
          <w:tcPr>
            <w:tcW w:w="1154" w:type="dxa"/>
            <w:vAlign w:val="center"/>
          </w:tcPr>
          <w:p>
            <w:pPr>
              <w:widowControl/>
              <w:jc w:val="left"/>
              <w:rPr>
                <w:rFonts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8" w:type="dxa"/>
            <w:vAlign w:val="center"/>
          </w:tcPr>
          <w:p>
            <w:pPr>
              <w:jc w:val="center"/>
              <w:rPr>
                <w:rFonts w:hint="eastAsia" w:eastAsia="宋体"/>
                <w:kern w:val="0"/>
                <w:szCs w:val="21"/>
                <w:lang w:val="en-US" w:eastAsia="zh-CN"/>
              </w:rPr>
            </w:pPr>
            <w:r>
              <w:rPr>
                <w:rFonts w:hint="eastAsia"/>
                <w:kern w:val="0"/>
                <w:szCs w:val="21"/>
                <w:lang w:val="en-US" w:eastAsia="zh-CN"/>
              </w:rPr>
              <w:t>8</w:t>
            </w:r>
          </w:p>
        </w:tc>
        <w:tc>
          <w:tcPr>
            <w:tcW w:w="1140" w:type="dxa"/>
            <w:vAlign w:val="center"/>
          </w:tcPr>
          <w:p>
            <w:pPr>
              <w:snapToGrid w:val="0"/>
              <w:jc w:val="center"/>
            </w:pPr>
            <w:r>
              <w:rPr>
                <w:rFonts w:hint="eastAsia"/>
              </w:rPr>
              <w:t>免费保修期</w:t>
            </w:r>
          </w:p>
          <w:p>
            <w:pPr>
              <w:pStyle w:val="21"/>
              <w:jc w:val="center"/>
              <w:rPr>
                <w:b/>
                <w:bCs/>
              </w:rPr>
            </w:pPr>
            <w:r>
              <w:rPr>
                <w:rFonts w:hint="eastAsia"/>
                <w:b/>
                <w:bCs/>
                <w:sz w:val="21"/>
                <w:szCs w:val="24"/>
              </w:rPr>
              <w:t>4分</w:t>
            </w:r>
          </w:p>
        </w:tc>
        <w:tc>
          <w:tcPr>
            <w:tcW w:w="7087" w:type="dxa"/>
            <w:shd w:val="clear" w:color="auto" w:fill="auto"/>
            <w:vAlign w:val="center"/>
          </w:tcPr>
          <w:p>
            <w:r>
              <w:rPr>
                <w:rFonts w:hint="eastAsia"/>
              </w:rPr>
              <w:t>根据制造商承诺的免费包修期打分，满足《技术需求书》要求五年的基础上，每增加一年得2分，满分4分。</w:t>
            </w:r>
          </w:p>
          <w:p>
            <w:r>
              <w:rPr>
                <w:rFonts w:hint="eastAsia"/>
              </w:rPr>
              <w:t>提供制造商承诺并加盖制造商公章。</w:t>
            </w:r>
          </w:p>
        </w:tc>
        <w:tc>
          <w:tcPr>
            <w:tcW w:w="1154" w:type="dxa"/>
            <w:vAlign w:val="center"/>
          </w:tcPr>
          <w:p>
            <w:pPr>
              <w:widowControl/>
              <w:jc w:val="left"/>
              <w:rPr>
                <w:rFonts w:eastAsia="仿宋_GB2312"/>
                <w:b/>
                <w:bCs/>
                <w:kern w:val="0"/>
                <w:sz w:val="24"/>
              </w:rPr>
            </w:pPr>
          </w:p>
        </w:tc>
      </w:tr>
    </w:tbl>
    <w:p>
      <w:pPr>
        <w:pStyle w:val="2"/>
        <w:numPr>
          <w:ilvl w:val="0"/>
          <w:numId w:val="0"/>
        </w:numPr>
        <w:spacing w:before="0" w:after="0" w:line="360" w:lineRule="auto"/>
        <w:jc w:val="center"/>
        <w:rPr>
          <w:b/>
          <w:color w:val="000000"/>
          <w:sz w:val="36"/>
          <w:szCs w:val="36"/>
        </w:rPr>
      </w:pPr>
      <w:r>
        <w:br w:type="page"/>
      </w:r>
      <w:bookmarkStart w:id="17" w:name="_Toc69378618"/>
      <w:r>
        <w:rPr>
          <w:rFonts w:hint="eastAsia"/>
          <w:b/>
          <w:sz w:val="36"/>
          <w:szCs w:val="36"/>
        </w:rPr>
        <w:t xml:space="preserve">第四章 </w:t>
      </w:r>
      <w:r>
        <w:rPr>
          <w:b/>
          <w:sz w:val="36"/>
          <w:szCs w:val="36"/>
        </w:rPr>
        <w:t>合同格式</w:t>
      </w:r>
      <w:bookmarkEnd w:id="17"/>
    </w:p>
    <w:p>
      <w:pPr>
        <w:widowControl/>
        <w:spacing w:line="360" w:lineRule="auto"/>
        <w:ind w:firstLine="480" w:firstLineChars="200"/>
        <w:jc w:val="left"/>
        <w:rPr>
          <w:sz w:val="24"/>
        </w:rPr>
      </w:pPr>
      <w:r>
        <w:rPr>
          <w:sz w:val="24"/>
        </w:rPr>
        <w:t>除了对</w:t>
      </w:r>
      <w:r>
        <w:rPr>
          <w:rFonts w:hint="eastAsia"/>
          <w:sz w:val="24"/>
        </w:rPr>
        <w:t>谈判</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谈判</w:t>
      </w:r>
      <w:r>
        <w:rPr>
          <w:sz w:val="24"/>
        </w:rPr>
        <w:t>文件第</w:t>
      </w:r>
      <w:r>
        <w:rPr>
          <w:rFonts w:hint="eastAsia"/>
          <w:sz w:val="24"/>
        </w:rPr>
        <w:t>四</w:t>
      </w:r>
      <w:r>
        <w:rPr>
          <w:sz w:val="24"/>
        </w:rPr>
        <w:t>章《合同格式》内容的任何负偏离均将</w:t>
      </w:r>
      <w:r>
        <w:rPr>
          <w:rFonts w:hint="eastAsia"/>
          <w:sz w:val="24"/>
        </w:rPr>
        <w:t>视为不实质性响应</w:t>
      </w:r>
      <w:r>
        <w:rPr>
          <w:sz w:val="24"/>
        </w:rPr>
        <w:t>。</w:t>
      </w:r>
    </w:p>
    <w:p>
      <w:pPr>
        <w:widowControl/>
        <w:spacing w:line="300" w:lineRule="auto"/>
        <w:jc w:val="left"/>
        <w:rPr>
          <w:b/>
          <w:color w:val="000000"/>
        </w:rPr>
      </w:pPr>
      <w:r>
        <w:rPr>
          <w:rFonts w:eastAsia="黑体"/>
          <w:bCs/>
          <w:color w:val="000000"/>
          <w:sz w:val="52"/>
          <w:szCs w:val="52"/>
        </w:rPr>
        <w:br w:type="page"/>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甲方：</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乙方：</w:t>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rPr>
          <w:rFonts w:hint="eastAsia" w:ascii="仿宋" w:hAnsi="仿宋" w:eastAsia="仿宋" w:cs="仿宋"/>
          <w:b/>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kern w:val="0"/>
          <w:sz w:val="24"/>
          <w:szCs w:val="22"/>
        </w:rPr>
      </w:pPr>
      <w:r>
        <w:rPr>
          <w:rFonts w:hint="eastAsia" w:ascii="仿宋" w:hAnsi="仿宋" w:eastAsia="仿宋" w:cs="仿宋"/>
          <w:kern w:val="0"/>
          <w:sz w:val="24"/>
          <w:szCs w:val="22"/>
        </w:rPr>
        <w:t>甲乙双方就堡垒机设备采购项目，采用如下方式，依法签订本合同：</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kern w:val="0"/>
          <w:sz w:val="24"/>
          <w:szCs w:val="22"/>
        </w:rPr>
      </w:pPr>
      <w:r>
        <w:rPr>
          <w:rFonts w:hint="eastAsia" w:ascii="仿宋" w:hAnsi="仿宋" w:eastAsia="仿宋" w:cs="仿宋"/>
          <w:kern w:val="0"/>
          <w:sz w:val="24"/>
          <w:szCs w:val="22"/>
        </w:rPr>
        <w:t>甲方组织</w:t>
      </w:r>
      <w:r>
        <w:rPr>
          <w:rFonts w:hint="eastAsia" w:ascii="仿宋" w:hAnsi="仿宋" w:eastAsia="仿宋" w:cs="仿宋"/>
          <w:kern w:val="0"/>
          <w:sz w:val="24"/>
          <w:szCs w:val="22"/>
          <w:lang w:val="en-US" w:eastAsia="zh-CN"/>
        </w:rPr>
        <w:t>竞争性谈判</w:t>
      </w:r>
      <w:r>
        <w:rPr>
          <w:rFonts w:hint="eastAsia" w:ascii="仿宋" w:hAnsi="仿宋" w:eastAsia="仿宋" w:cs="仿宋"/>
          <w:kern w:val="0"/>
          <w:sz w:val="24"/>
          <w:szCs w:val="22"/>
        </w:rPr>
        <w:t>，经评委会严格评审，本项目由乙方成交。双方根据甲方</w:t>
      </w:r>
      <w:r>
        <w:rPr>
          <w:rFonts w:hint="eastAsia" w:ascii="仿宋" w:hAnsi="仿宋" w:eastAsia="仿宋" w:cs="仿宋"/>
          <w:kern w:val="0"/>
          <w:sz w:val="24"/>
          <w:szCs w:val="22"/>
          <w:lang w:val="en-US" w:eastAsia="zh-CN"/>
        </w:rPr>
        <w:t>采购</w:t>
      </w:r>
      <w:r>
        <w:rPr>
          <w:rFonts w:hint="eastAsia" w:ascii="仿宋" w:hAnsi="仿宋" w:eastAsia="仿宋" w:cs="仿宋"/>
          <w:kern w:val="0"/>
          <w:sz w:val="24"/>
          <w:szCs w:val="22"/>
        </w:rPr>
        <w:t>文件的规定、乙方响应文件及询价</w:t>
      </w:r>
      <w:r>
        <w:rPr>
          <w:rFonts w:hint="eastAsia" w:ascii="仿宋" w:hAnsi="仿宋" w:eastAsia="仿宋" w:cs="仿宋"/>
          <w:kern w:val="0"/>
          <w:sz w:val="24"/>
          <w:szCs w:val="22"/>
          <w:lang w:eastAsia="zh-CN"/>
        </w:rPr>
        <w:t>、</w:t>
      </w:r>
      <w:r>
        <w:rPr>
          <w:rFonts w:hint="eastAsia" w:ascii="仿宋" w:hAnsi="仿宋" w:eastAsia="仿宋" w:cs="仿宋"/>
          <w:kern w:val="0"/>
          <w:sz w:val="24"/>
          <w:szCs w:val="22"/>
          <w:lang w:val="en-US" w:eastAsia="zh-CN"/>
        </w:rPr>
        <w:t>谈判或磋商</w:t>
      </w:r>
      <w:r>
        <w:rPr>
          <w:rFonts w:hint="eastAsia" w:ascii="仿宋" w:hAnsi="仿宋" w:eastAsia="仿宋" w:cs="仿宋"/>
          <w:kern w:val="0"/>
          <w:sz w:val="24"/>
          <w:szCs w:val="22"/>
        </w:rPr>
        <w:t>时乙方作出的书面承诺依法签订本合同。</w:t>
      </w:r>
    </w:p>
    <w:p>
      <w:pPr>
        <w:widowControl/>
        <w:snapToGrid w:val="0"/>
        <w:spacing w:beforeLines="0" w:line="240" w:lineRule="auto"/>
        <w:ind w:firstLine="482" w:firstLineChars="200"/>
        <w:jc w:val="left"/>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en-US" w:eastAsia="zh-CN"/>
        </w:rPr>
        <w:t xml:space="preserve">第一条 </w:t>
      </w:r>
      <w:r>
        <w:rPr>
          <w:rFonts w:hint="eastAsia" w:ascii="仿宋" w:hAnsi="仿宋" w:eastAsia="仿宋" w:cs="仿宋"/>
          <w:b/>
          <w:bCs/>
          <w:kern w:val="0"/>
          <w:sz w:val="24"/>
          <w:szCs w:val="24"/>
          <w:lang w:val="zh-CN"/>
        </w:rPr>
        <w:t>项目</w:t>
      </w:r>
      <w:r>
        <w:rPr>
          <w:rFonts w:hint="eastAsia" w:ascii="仿宋" w:hAnsi="仿宋" w:eastAsia="仿宋" w:cs="仿宋"/>
          <w:b/>
          <w:bCs/>
          <w:kern w:val="0"/>
          <w:sz w:val="24"/>
          <w:szCs w:val="24"/>
          <w:lang w:val="zh-CN" w:eastAsia="zh-CN"/>
        </w:rPr>
        <w:t>标的和</w:t>
      </w:r>
      <w:r>
        <w:rPr>
          <w:rFonts w:hint="eastAsia" w:ascii="仿宋" w:hAnsi="仿宋" w:eastAsia="仿宋" w:cs="仿宋"/>
          <w:b/>
          <w:bCs/>
          <w:kern w:val="0"/>
          <w:sz w:val="24"/>
          <w:szCs w:val="24"/>
          <w:lang w:val="zh-CN"/>
        </w:rPr>
        <w:t>内容</w:t>
      </w:r>
    </w:p>
    <w:p>
      <w:pPr>
        <w:snapToGrid w:val="0"/>
        <w:spacing w:line="240" w:lineRule="auto"/>
        <w:ind w:firstLine="480" w:firstLineChars="200"/>
        <w:rPr>
          <w:rFonts w:hint="eastAsia" w:ascii="仿宋" w:hAnsi="仿宋" w:eastAsia="仿宋" w:cs="仿宋"/>
          <w:kern w:val="0"/>
          <w:sz w:val="24"/>
          <w:szCs w:val="22"/>
        </w:rPr>
      </w:pPr>
      <w:r>
        <w:rPr>
          <w:rFonts w:hint="eastAsia" w:ascii="仿宋" w:hAnsi="仿宋" w:eastAsia="仿宋" w:cs="仿宋"/>
          <w:kern w:val="0"/>
          <w:sz w:val="24"/>
          <w:szCs w:val="22"/>
          <w:lang w:val="en-US" w:eastAsia="zh-CN"/>
        </w:rPr>
        <w:t>1.1</w:t>
      </w:r>
      <w:r>
        <w:rPr>
          <w:rFonts w:hint="eastAsia" w:ascii="仿宋" w:hAnsi="仿宋" w:eastAsia="仿宋" w:cs="仿宋"/>
          <w:kern w:val="0"/>
          <w:sz w:val="24"/>
          <w:szCs w:val="22"/>
        </w:rPr>
        <w:t>项目</w:t>
      </w:r>
      <w:r>
        <w:rPr>
          <w:rFonts w:hint="eastAsia" w:ascii="仿宋" w:hAnsi="仿宋" w:eastAsia="仿宋" w:cs="仿宋"/>
          <w:kern w:val="0"/>
          <w:sz w:val="24"/>
          <w:szCs w:val="22"/>
          <w:lang w:eastAsia="zh-Hans"/>
        </w:rPr>
        <w:t>标的</w:t>
      </w:r>
      <w:r>
        <w:rPr>
          <w:rFonts w:hint="eastAsia" w:ascii="仿宋" w:hAnsi="仿宋" w:eastAsia="仿宋" w:cs="仿宋"/>
          <w:kern w:val="0"/>
          <w:sz w:val="24"/>
          <w:szCs w:val="22"/>
        </w:rPr>
        <w:t>内容包括</w:t>
      </w:r>
      <w:r>
        <w:rPr>
          <w:rFonts w:hint="eastAsia" w:ascii="仿宋" w:hAnsi="仿宋" w:eastAsia="仿宋" w:cs="仿宋"/>
          <w:kern w:val="0"/>
          <w:sz w:val="24"/>
          <w:szCs w:val="22"/>
          <w:lang w:eastAsia="zh-CN"/>
        </w:rPr>
        <w:t>乙方</w:t>
      </w:r>
      <w:r>
        <w:rPr>
          <w:rFonts w:hint="eastAsia" w:ascii="仿宋" w:hAnsi="仿宋" w:eastAsia="仿宋" w:cs="仿宋"/>
          <w:kern w:val="0"/>
          <w:sz w:val="24"/>
          <w:szCs w:val="22"/>
        </w:rPr>
        <w:t>按照</w:t>
      </w:r>
      <w:r>
        <w:rPr>
          <w:rFonts w:hint="eastAsia" w:ascii="仿宋" w:hAnsi="仿宋" w:eastAsia="仿宋" w:cs="仿宋"/>
          <w:kern w:val="0"/>
          <w:sz w:val="24"/>
          <w:szCs w:val="22"/>
          <w:lang w:eastAsia="zh-CN"/>
        </w:rPr>
        <w:t>甲方</w:t>
      </w:r>
      <w:r>
        <w:rPr>
          <w:rFonts w:hint="eastAsia" w:ascii="仿宋" w:hAnsi="仿宋" w:eastAsia="仿宋" w:cs="仿宋"/>
          <w:kern w:val="0"/>
          <w:sz w:val="24"/>
          <w:szCs w:val="22"/>
        </w:rPr>
        <w:t>具体要求供应</w:t>
      </w:r>
      <w:r>
        <w:rPr>
          <w:rFonts w:hint="eastAsia" w:ascii="仿宋" w:hAnsi="仿宋" w:eastAsia="仿宋" w:cs="仿宋"/>
          <w:kern w:val="0"/>
          <w:sz w:val="24"/>
          <w:szCs w:val="22"/>
          <w:u w:val="none"/>
          <w:lang w:val="en-US" w:eastAsia="zh-CN"/>
        </w:rPr>
        <w:t>堡垒机</w:t>
      </w:r>
      <w:r>
        <w:rPr>
          <w:rFonts w:hint="eastAsia" w:ascii="仿宋" w:hAnsi="仿宋" w:eastAsia="仿宋" w:cs="仿宋"/>
          <w:kern w:val="0"/>
          <w:sz w:val="24"/>
          <w:szCs w:val="22"/>
        </w:rPr>
        <w:t>相关硬件设备、辅材，并完成所有硬件的安装、调试及操作培训工作，同时</w:t>
      </w:r>
      <w:r>
        <w:rPr>
          <w:rFonts w:hint="eastAsia" w:ascii="仿宋" w:hAnsi="仿宋" w:eastAsia="仿宋" w:cs="仿宋"/>
          <w:kern w:val="0"/>
          <w:sz w:val="24"/>
          <w:szCs w:val="22"/>
          <w:lang w:eastAsia="zh-CN"/>
        </w:rPr>
        <w:t>乙方</w:t>
      </w:r>
      <w:r>
        <w:rPr>
          <w:rFonts w:hint="eastAsia" w:ascii="仿宋" w:hAnsi="仿宋" w:eastAsia="仿宋" w:cs="仿宋"/>
          <w:kern w:val="0"/>
          <w:sz w:val="24"/>
          <w:szCs w:val="22"/>
        </w:rPr>
        <w:t>承诺配合</w:t>
      </w:r>
      <w:r>
        <w:rPr>
          <w:rFonts w:hint="eastAsia" w:ascii="仿宋" w:hAnsi="仿宋" w:eastAsia="仿宋" w:cs="仿宋"/>
          <w:kern w:val="0"/>
          <w:sz w:val="24"/>
          <w:szCs w:val="22"/>
          <w:lang w:eastAsia="zh-CN"/>
        </w:rPr>
        <w:t>甲方</w:t>
      </w:r>
      <w:r>
        <w:rPr>
          <w:rFonts w:hint="eastAsia" w:ascii="仿宋" w:hAnsi="仿宋" w:eastAsia="仿宋" w:cs="仿宋"/>
          <w:kern w:val="0"/>
          <w:sz w:val="24"/>
          <w:szCs w:val="22"/>
        </w:rPr>
        <w:t>及</w:t>
      </w:r>
      <w:r>
        <w:rPr>
          <w:rFonts w:hint="eastAsia" w:ascii="仿宋" w:hAnsi="仿宋" w:eastAsia="仿宋" w:cs="仿宋"/>
          <w:kern w:val="0"/>
          <w:sz w:val="24"/>
          <w:szCs w:val="22"/>
          <w:lang w:eastAsia="zh-CN"/>
        </w:rPr>
        <w:t>甲方</w:t>
      </w:r>
      <w:r>
        <w:rPr>
          <w:rFonts w:hint="eastAsia" w:ascii="仿宋" w:hAnsi="仿宋" w:eastAsia="仿宋" w:cs="仿宋"/>
          <w:kern w:val="0"/>
          <w:sz w:val="24"/>
          <w:szCs w:val="22"/>
        </w:rPr>
        <w:t>指定的厂商完成相关的系统集成。具体设备名称、规格型号、配置、数量、价格明细及总价等详见附件一：供货清单。</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第二条 合同总价</w:t>
      </w:r>
    </w:p>
    <w:p>
      <w:pPr>
        <w:snapToGrid w:val="0"/>
        <w:spacing w:line="240" w:lineRule="auto"/>
        <w:ind w:firstLine="480" w:firstLineChars="200"/>
        <w:rPr>
          <w:rFonts w:hint="eastAsia" w:ascii="仿宋" w:hAnsi="仿宋" w:eastAsia="仿宋" w:cs="仿宋"/>
          <w:kern w:val="0"/>
          <w:sz w:val="24"/>
          <w:szCs w:val="22"/>
        </w:rPr>
      </w:pPr>
      <w:r>
        <w:rPr>
          <w:rFonts w:hint="eastAsia" w:ascii="仿宋" w:hAnsi="仿宋" w:eastAsia="仿宋" w:cs="仿宋"/>
          <w:kern w:val="0"/>
          <w:sz w:val="24"/>
          <w:szCs w:val="22"/>
          <w:lang w:eastAsia="zh-CN"/>
        </w:rPr>
        <w:t>2</w:t>
      </w:r>
      <w:r>
        <w:rPr>
          <w:rFonts w:hint="eastAsia" w:ascii="仿宋" w:hAnsi="仿宋" w:eastAsia="仿宋" w:cs="仿宋"/>
          <w:kern w:val="0"/>
          <w:sz w:val="24"/>
          <w:szCs w:val="22"/>
          <w:lang w:val="en-US" w:eastAsia="zh-CN"/>
        </w:rPr>
        <w:t>.1</w:t>
      </w:r>
      <w:r>
        <w:rPr>
          <w:rFonts w:hint="eastAsia" w:ascii="仿宋" w:hAnsi="仿宋" w:eastAsia="仿宋" w:cs="仿宋"/>
          <w:kern w:val="0"/>
          <w:sz w:val="24"/>
          <w:szCs w:val="22"/>
        </w:rPr>
        <w:t>合同总价</w:t>
      </w:r>
      <w:r>
        <w:rPr>
          <w:rFonts w:hint="eastAsia" w:ascii="仿宋" w:hAnsi="仿宋" w:eastAsia="仿宋" w:cs="仿宋"/>
          <w:b w:val="0"/>
          <w:kern w:val="0"/>
          <w:sz w:val="24"/>
          <w:szCs w:val="22"/>
        </w:rPr>
        <w:t>（人民币大写）：</w:t>
      </w:r>
      <w:r>
        <w:rPr>
          <w:rFonts w:hint="eastAsia" w:ascii="仿宋" w:hAnsi="仿宋" w:eastAsia="仿宋" w:cs="仿宋"/>
          <w:b w:val="0"/>
          <w:kern w:val="0"/>
          <w:sz w:val="24"/>
          <w:szCs w:val="22"/>
          <w:u w:val="none"/>
        </w:rPr>
        <w:t xml:space="preserve"> </w:t>
      </w:r>
      <w:permStart w:id="0" w:edGrp="everyone"/>
      <w:r>
        <w:rPr>
          <w:rFonts w:hint="eastAsia" w:ascii="仿宋" w:hAnsi="仿宋" w:eastAsia="仿宋" w:cs="仿宋"/>
          <w:b w:val="0"/>
          <w:kern w:val="0"/>
          <w:sz w:val="24"/>
          <w:szCs w:val="22"/>
          <w:u w:val="none"/>
        </w:rPr>
        <w:t xml:space="preserve">              </w:t>
      </w:r>
      <w:r>
        <w:rPr>
          <w:rFonts w:hint="eastAsia" w:ascii="仿宋" w:hAnsi="仿宋" w:eastAsia="仿宋" w:cs="仿宋"/>
          <w:kern w:val="0"/>
          <w:sz w:val="24"/>
          <w:szCs w:val="22"/>
          <w:u w:val="none"/>
        </w:rPr>
        <w:t>。</w:t>
      </w:r>
      <w:permEnd w:id="0"/>
    </w:p>
    <w:p>
      <w:pPr>
        <w:snapToGrid w:val="0"/>
        <w:spacing w:line="240" w:lineRule="auto"/>
        <w:ind w:firstLine="480" w:firstLineChars="200"/>
        <w:rPr>
          <w:rFonts w:hint="eastAsia" w:ascii="仿宋" w:hAnsi="仿宋" w:eastAsia="仿宋" w:cs="仿宋"/>
          <w:kern w:val="0"/>
          <w:sz w:val="24"/>
          <w:szCs w:val="22"/>
        </w:rPr>
      </w:pPr>
      <w:r>
        <w:rPr>
          <w:rFonts w:hint="eastAsia" w:ascii="仿宋" w:hAnsi="仿宋" w:eastAsia="仿宋" w:cs="仿宋"/>
          <w:b w:val="0"/>
          <w:kern w:val="0"/>
          <w:sz w:val="24"/>
          <w:szCs w:val="22"/>
        </w:rPr>
        <w:t>（人民币小写）</w:t>
      </w:r>
      <w:r>
        <w:rPr>
          <w:rFonts w:hint="eastAsia" w:ascii="仿宋" w:hAnsi="仿宋" w:eastAsia="仿宋" w:cs="仿宋"/>
          <w:b w:val="0"/>
          <w:kern w:val="0"/>
          <w:sz w:val="24"/>
          <w:szCs w:val="22"/>
          <w:u w:val="none"/>
        </w:rPr>
        <w:t>：￥：</w:t>
      </w:r>
      <w:permStart w:id="1" w:edGrp="everyone"/>
      <w:r>
        <w:rPr>
          <w:rFonts w:hint="eastAsia" w:ascii="仿宋" w:hAnsi="仿宋" w:eastAsia="仿宋" w:cs="仿宋"/>
          <w:b w:val="0"/>
          <w:kern w:val="0"/>
          <w:sz w:val="24"/>
          <w:szCs w:val="22"/>
          <w:u w:val="none"/>
        </w:rPr>
        <w:t xml:space="preserve">            </w:t>
      </w:r>
      <w:permEnd w:id="1"/>
      <w:r>
        <w:rPr>
          <w:rFonts w:hint="eastAsia" w:ascii="仿宋" w:hAnsi="仿宋" w:eastAsia="仿宋" w:cs="仿宋"/>
          <w:b w:val="0"/>
          <w:kern w:val="0"/>
          <w:sz w:val="24"/>
          <w:szCs w:val="22"/>
          <w:u w:val="none"/>
        </w:rPr>
        <w:t>元</w:t>
      </w:r>
      <w:r>
        <w:rPr>
          <w:rFonts w:hint="eastAsia" w:ascii="仿宋" w:hAnsi="仿宋" w:eastAsia="仿宋" w:cs="仿宋"/>
          <w:kern w:val="0"/>
          <w:sz w:val="24"/>
          <w:szCs w:val="22"/>
        </w:rPr>
        <w:t>。</w:t>
      </w:r>
    </w:p>
    <w:p>
      <w:pPr>
        <w:snapToGrid w:val="0"/>
        <w:spacing w:line="240" w:lineRule="auto"/>
        <w:ind w:firstLine="480" w:firstLineChars="200"/>
        <w:rPr>
          <w:rFonts w:hint="eastAsia" w:ascii="仿宋" w:hAnsi="仿宋" w:eastAsia="仿宋" w:cs="仿宋"/>
          <w:kern w:val="0"/>
          <w:sz w:val="24"/>
          <w:szCs w:val="22"/>
        </w:rPr>
      </w:pPr>
      <w:r>
        <w:rPr>
          <w:rFonts w:hint="eastAsia" w:ascii="仿宋" w:hAnsi="仿宋" w:eastAsia="仿宋" w:cs="仿宋"/>
          <w:kern w:val="0"/>
          <w:sz w:val="24"/>
          <w:szCs w:val="22"/>
        </w:rPr>
        <w:t>2.</w:t>
      </w:r>
      <w:r>
        <w:rPr>
          <w:rFonts w:hint="eastAsia" w:ascii="仿宋" w:hAnsi="仿宋" w:eastAsia="仿宋" w:cs="仿宋"/>
          <w:kern w:val="0"/>
          <w:sz w:val="24"/>
          <w:szCs w:val="22"/>
          <w:lang w:val="en-US" w:eastAsia="zh-CN"/>
        </w:rPr>
        <w:t>2</w:t>
      </w:r>
      <w:r>
        <w:rPr>
          <w:rFonts w:hint="eastAsia" w:ascii="仿宋" w:hAnsi="仿宋" w:eastAsia="仿宋" w:cs="仿宋"/>
          <w:kern w:val="0"/>
          <w:sz w:val="24"/>
          <w:szCs w:val="22"/>
        </w:rPr>
        <w:t>合同总价系指按本合同的规定，</w:t>
      </w:r>
      <w:r>
        <w:rPr>
          <w:rFonts w:hint="eastAsia" w:ascii="仿宋" w:hAnsi="仿宋" w:eastAsia="仿宋" w:cs="仿宋"/>
          <w:kern w:val="0"/>
          <w:sz w:val="24"/>
          <w:szCs w:val="22"/>
          <w:lang w:eastAsia="zh-CN"/>
        </w:rPr>
        <w:t>乙方</w:t>
      </w:r>
      <w:r>
        <w:rPr>
          <w:rFonts w:hint="eastAsia" w:ascii="仿宋" w:hAnsi="仿宋" w:eastAsia="仿宋" w:cs="仿宋"/>
          <w:kern w:val="0"/>
          <w:sz w:val="24"/>
          <w:szCs w:val="22"/>
        </w:rPr>
        <w:t>在完全履行了合同的义务后，</w:t>
      </w:r>
      <w:r>
        <w:rPr>
          <w:rFonts w:hint="eastAsia" w:ascii="仿宋" w:hAnsi="仿宋" w:eastAsia="仿宋" w:cs="仿宋"/>
          <w:kern w:val="0"/>
          <w:sz w:val="24"/>
          <w:szCs w:val="22"/>
          <w:lang w:eastAsia="zh-CN"/>
        </w:rPr>
        <w:t>甲方</w:t>
      </w:r>
      <w:r>
        <w:rPr>
          <w:rFonts w:hint="eastAsia" w:ascii="仿宋" w:hAnsi="仿宋" w:eastAsia="仿宋" w:cs="仿宋"/>
          <w:kern w:val="0"/>
          <w:sz w:val="24"/>
          <w:szCs w:val="22"/>
        </w:rPr>
        <w:t>支付给</w:t>
      </w:r>
      <w:r>
        <w:rPr>
          <w:rFonts w:hint="eastAsia" w:ascii="仿宋" w:hAnsi="仿宋" w:eastAsia="仿宋" w:cs="仿宋"/>
          <w:kern w:val="0"/>
          <w:sz w:val="24"/>
          <w:szCs w:val="22"/>
          <w:lang w:eastAsia="zh-CN"/>
        </w:rPr>
        <w:t>乙方</w:t>
      </w:r>
      <w:r>
        <w:rPr>
          <w:rFonts w:hint="eastAsia" w:ascii="仿宋" w:hAnsi="仿宋" w:eastAsia="仿宋" w:cs="仿宋"/>
          <w:kern w:val="0"/>
          <w:sz w:val="24"/>
          <w:szCs w:val="22"/>
        </w:rPr>
        <w:t>的总价款，包括但不限于硬件系统的采购费、包装费、运输费、保险费、安装调试费（含所有电缆及接头、使用的工具、硬件等）、随机提供的备品备件和专用工具费、检测验收费、培训费、售后服务费，以及与所供产品和服务有关的一切税费。除此之外，</w:t>
      </w:r>
      <w:r>
        <w:rPr>
          <w:rFonts w:hint="eastAsia" w:ascii="仿宋" w:hAnsi="仿宋" w:eastAsia="仿宋" w:cs="仿宋"/>
          <w:kern w:val="0"/>
          <w:sz w:val="24"/>
          <w:szCs w:val="22"/>
          <w:lang w:eastAsia="zh-CN"/>
        </w:rPr>
        <w:t>甲方</w:t>
      </w:r>
      <w:r>
        <w:rPr>
          <w:rFonts w:hint="eastAsia" w:ascii="仿宋" w:hAnsi="仿宋" w:eastAsia="仿宋" w:cs="仿宋"/>
          <w:kern w:val="0"/>
          <w:sz w:val="24"/>
          <w:szCs w:val="22"/>
        </w:rPr>
        <w:t>不再以任何名义、任何方式向</w:t>
      </w:r>
      <w:r>
        <w:rPr>
          <w:rFonts w:hint="eastAsia" w:ascii="仿宋" w:hAnsi="仿宋" w:eastAsia="仿宋" w:cs="仿宋"/>
          <w:kern w:val="0"/>
          <w:sz w:val="24"/>
          <w:szCs w:val="22"/>
          <w:lang w:eastAsia="zh-CN"/>
        </w:rPr>
        <w:t>乙方</w:t>
      </w:r>
      <w:r>
        <w:rPr>
          <w:rFonts w:hint="eastAsia" w:ascii="仿宋" w:hAnsi="仿宋" w:eastAsia="仿宋" w:cs="仿宋"/>
          <w:kern w:val="0"/>
          <w:sz w:val="24"/>
          <w:szCs w:val="22"/>
        </w:rPr>
        <w:t>支付费用。</w:t>
      </w:r>
    </w:p>
    <w:p>
      <w:pPr>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2"/>
          <w:lang w:eastAsia="zh-CN"/>
        </w:rPr>
        <w:t>2</w:t>
      </w:r>
      <w:r>
        <w:rPr>
          <w:rFonts w:hint="eastAsia" w:ascii="仿宋" w:hAnsi="仿宋" w:eastAsia="仿宋" w:cs="仿宋"/>
          <w:kern w:val="0"/>
          <w:sz w:val="24"/>
          <w:szCs w:val="22"/>
          <w:lang w:val="en-US" w:eastAsia="zh-CN"/>
        </w:rPr>
        <w:t>.3</w:t>
      </w:r>
      <w:r>
        <w:rPr>
          <w:rFonts w:hint="eastAsia" w:ascii="仿宋" w:hAnsi="仿宋" w:eastAsia="仿宋" w:cs="仿宋"/>
          <w:kern w:val="0"/>
          <w:sz w:val="24"/>
          <w:szCs w:val="22"/>
        </w:rPr>
        <w:t>当国家法定增值税税率发生变更，买卖双方约定以含税价格不变作为基准，调整增值税税额。</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第三条 付款方式及期限</w:t>
      </w:r>
    </w:p>
    <w:p>
      <w:pPr>
        <w:numPr>
          <w:ilvl w:val="0"/>
          <w:numId w:val="0"/>
        </w:numPr>
        <w:snapToGrid w:val="0"/>
        <w:spacing w:line="240" w:lineRule="auto"/>
        <w:ind w:left="0" w:firstLine="480" w:firstLineChars="200"/>
        <w:rPr>
          <w:rFonts w:hint="eastAsia" w:ascii="仿宋" w:hAnsi="仿宋" w:eastAsia="仿宋" w:cs="仿宋"/>
          <w:kern w:val="0"/>
          <w:sz w:val="24"/>
          <w:szCs w:val="22"/>
        </w:rPr>
      </w:pPr>
      <w:r>
        <w:rPr>
          <w:rFonts w:hint="eastAsia" w:ascii="仿宋" w:hAnsi="仿宋" w:eastAsia="仿宋" w:cs="仿宋"/>
          <w:kern w:val="0"/>
          <w:sz w:val="24"/>
          <w:szCs w:val="22"/>
          <w:lang w:eastAsia="zh-CN"/>
        </w:rPr>
        <w:t>3</w:t>
      </w:r>
      <w:r>
        <w:rPr>
          <w:rFonts w:hint="eastAsia" w:ascii="仿宋" w:hAnsi="仿宋" w:eastAsia="仿宋" w:cs="仿宋"/>
          <w:kern w:val="0"/>
          <w:sz w:val="24"/>
          <w:szCs w:val="22"/>
          <w:lang w:val="en-US" w:eastAsia="zh-CN"/>
        </w:rPr>
        <w:t>.1</w:t>
      </w:r>
      <w:r>
        <w:rPr>
          <w:rFonts w:hint="eastAsia" w:ascii="仿宋" w:hAnsi="仿宋" w:eastAsia="仿宋" w:cs="仿宋"/>
          <w:kern w:val="0"/>
          <w:sz w:val="24"/>
          <w:szCs w:val="22"/>
        </w:rPr>
        <w:t>付款方式：合同总价的</w:t>
      </w:r>
      <w:permStart w:id="2" w:edGrp="everyone"/>
      <w:r>
        <w:rPr>
          <w:rFonts w:hint="eastAsia" w:ascii="仿宋" w:hAnsi="仿宋" w:eastAsia="仿宋" w:cs="仿宋"/>
          <w:kern w:val="0"/>
          <w:sz w:val="24"/>
          <w:szCs w:val="22"/>
        </w:rPr>
        <w:t>【</w:t>
      </w:r>
      <w:r>
        <w:rPr>
          <w:rFonts w:hint="eastAsia" w:ascii="仿宋" w:hAnsi="仿宋" w:eastAsia="仿宋" w:cs="仿宋"/>
          <w:kern w:val="0"/>
          <w:sz w:val="24"/>
          <w:szCs w:val="22"/>
          <w:lang w:val="en-US" w:eastAsia="zh-CN"/>
        </w:rPr>
        <w:t>60</w:t>
      </w:r>
      <w:r>
        <w:rPr>
          <w:rFonts w:hint="eastAsia" w:ascii="仿宋" w:hAnsi="仿宋" w:eastAsia="仿宋" w:cs="仿宋"/>
          <w:kern w:val="0"/>
          <w:sz w:val="24"/>
          <w:szCs w:val="22"/>
        </w:rPr>
        <w:t>】</w:t>
      </w:r>
      <w:permEnd w:id="2"/>
      <w:r>
        <w:rPr>
          <w:rFonts w:hint="eastAsia" w:ascii="仿宋" w:hAnsi="仿宋" w:eastAsia="仿宋" w:cs="仿宋"/>
          <w:kern w:val="0"/>
          <w:sz w:val="24"/>
          <w:szCs w:val="22"/>
        </w:rPr>
        <w:t>%，以半年期汇票支付；剩余部分，以电汇或转账的方式支付。禁止将货款划入其他账号或支付现金。如收款方的账号和开户行变更，须及时以书面形式通知付款方，通知上必须同时盖有收款方的</w:t>
      </w:r>
      <w:r>
        <w:rPr>
          <w:rFonts w:hint="eastAsia" w:ascii="仿宋" w:hAnsi="仿宋" w:eastAsia="仿宋" w:cs="仿宋"/>
          <w:kern w:val="0"/>
          <w:sz w:val="24"/>
          <w:szCs w:val="22"/>
          <w:lang w:val="en-US" w:eastAsia="zh-CN"/>
        </w:rPr>
        <w:t>公章</w:t>
      </w:r>
      <w:r>
        <w:rPr>
          <w:rFonts w:hint="eastAsia" w:ascii="仿宋" w:hAnsi="仿宋" w:eastAsia="仿宋" w:cs="仿宋"/>
          <w:kern w:val="0"/>
          <w:sz w:val="24"/>
          <w:szCs w:val="22"/>
        </w:rPr>
        <w:t>和财务</w:t>
      </w:r>
      <w:r>
        <w:rPr>
          <w:rFonts w:hint="eastAsia" w:ascii="仿宋" w:hAnsi="仿宋" w:eastAsia="仿宋" w:cs="仿宋"/>
          <w:kern w:val="0"/>
          <w:sz w:val="24"/>
          <w:szCs w:val="22"/>
          <w:lang w:val="en-US" w:eastAsia="zh-CN"/>
        </w:rPr>
        <w:t>专用</w:t>
      </w:r>
      <w:r>
        <w:rPr>
          <w:rFonts w:hint="eastAsia" w:ascii="仿宋" w:hAnsi="仿宋" w:eastAsia="仿宋" w:cs="仿宋"/>
          <w:kern w:val="0"/>
          <w:sz w:val="24"/>
          <w:szCs w:val="22"/>
        </w:rPr>
        <w:t>章。</w:t>
      </w:r>
    </w:p>
    <w:p>
      <w:pPr>
        <w:numPr>
          <w:ilvl w:val="0"/>
          <w:numId w:val="0"/>
        </w:numPr>
        <w:snapToGrid w:val="0"/>
        <w:spacing w:line="240" w:lineRule="auto"/>
        <w:ind w:left="0" w:firstLine="480" w:firstLineChars="200"/>
        <w:rPr>
          <w:rFonts w:hint="eastAsia" w:ascii="仿宋" w:hAnsi="仿宋" w:eastAsia="仿宋" w:cs="仿宋"/>
          <w:kern w:val="0"/>
          <w:sz w:val="24"/>
          <w:szCs w:val="22"/>
        </w:rPr>
      </w:pPr>
      <w:r>
        <w:rPr>
          <w:rFonts w:hint="eastAsia" w:ascii="仿宋" w:hAnsi="仿宋" w:eastAsia="仿宋" w:cs="仿宋"/>
          <w:kern w:val="0"/>
          <w:sz w:val="24"/>
          <w:szCs w:val="22"/>
          <w:lang w:eastAsia="zh-CN"/>
        </w:rPr>
        <w:t>3</w:t>
      </w:r>
      <w:r>
        <w:rPr>
          <w:rFonts w:hint="eastAsia" w:ascii="仿宋" w:hAnsi="仿宋" w:eastAsia="仿宋" w:cs="仿宋"/>
          <w:kern w:val="0"/>
          <w:sz w:val="24"/>
          <w:szCs w:val="22"/>
          <w:lang w:val="en-US" w:eastAsia="zh-CN"/>
        </w:rPr>
        <w:t>.2</w:t>
      </w:r>
      <w:r>
        <w:rPr>
          <w:rFonts w:hint="eastAsia" w:ascii="仿宋" w:hAnsi="仿宋" w:eastAsia="仿宋" w:cs="仿宋"/>
          <w:kern w:val="0"/>
          <w:sz w:val="24"/>
          <w:szCs w:val="22"/>
        </w:rPr>
        <w:t>付款期限：设备通过厂验后，</w:t>
      </w:r>
      <w:r>
        <w:rPr>
          <w:rFonts w:hint="eastAsia" w:ascii="仿宋" w:hAnsi="仿宋" w:eastAsia="仿宋" w:cs="仿宋"/>
          <w:kern w:val="0"/>
          <w:sz w:val="24"/>
          <w:szCs w:val="22"/>
          <w:lang w:eastAsia="zh-CN"/>
        </w:rPr>
        <w:t>乙方</w:t>
      </w:r>
      <w:r>
        <w:rPr>
          <w:rFonts w:hint="eastAsia" w:ascii="仿宋" w:hAnsi="仿宋" w:eastAsia="仿宋" w:cs="仿宋"/>
          <w:kern w:val="0"/>
          <w:sz w:val="24"/>
          <w:szCs w:val="22"/>
        </w:rPr>
        <w:t>按</w:t>
      </w:r>
      <w:r>
        <w:rPr>
          <w:rFonts w:hint="eastAsia" w:ascii="仿宋" w:hAnsi="仿宋" w:eastAsia="仿宋" w:cs="仿宋"/>
          <w:kern w:val="0"/>
          <w:sz w:val="24"/>
          <w:szCs w:val="22"/>
          <w:lang w:eastAsia="zh-CN"/>
        </w:rPr>
        <w:t>甲方</w:t>
      </w:r>
      <w:r>
        <w:rPr>
          <w:rFonts w:hint="eastAsia" w:ascii="仿宋" w:hAnsi="仿宋" w:eastAsia="仿宋" w:cs="仿宋"/>
          <w:kern w:val="0"/>
          <w:sz w:val="24"/>
          <w:szCs w:val="22"/>
        </w:rPr>
        <w:t>要求将货物运送到制定地点，</w:t>
      </w:r>
      <w:r>
        <w:rPr>
          <w:rFonts w:hint="eastAsia" w:ascii="仿宋" w:hAnsi="仿宋" w:eastAsia="仿宋" w:cs="仿宋"/>
          <w:kern w:val="0"/>
          <w:sz w:val="24"/>
          <w:szCs w:val="22"/>
          <w:lang w:val="en-US" w:eastAsia="zh-CN"/>
        </w:rPr>
        <w:t>指定</w:t>
      </w:r>
      <w:r>
        <w:rPr>
          <w:rFonts w:hint="eastAsia" w:ascii="仿宋" w:hAnsi="仿宋" w:eastAsia="仿宋" w:cs="仿宋"/>
          <w:kern w:val="0"/>
          <w:sz w:val="24"/>
          <w:szCs w:val="22"/>
        </w:rPr>
        <w:t>楼层，到货检验合格后</w:t>
      </w:r>
      <w:permStart w:id="3" w:edGrp="everyone"/>
      <w:r>
        <w:rPr>
          <w:rFonts w:hint="eastAsia" w:ascii="仿宋" w:hAnsi="仿宋" w:eastAsia="仿宋" w:cs="仿宋"/>
          <w:kern w:val="0"/>
          <w:sz w:val="24"/>
          <w:szCs w:val="22"/>
        </w:rPr>
        <w:t>【</w:t>
      </w:r>
      <w:r>
        <w:rPr>
          <w:rFonts w:hint="eastAsia" w:ascii="仿宋" w:hAnsi="仿宋" w:eastAsia="仿宋" w:cs="仿宋"/>
          <w:kern w:val="0"/>
          <w:sz w:val="24"/>
          <w:szCs w:val="22"/>
          <w:lang w:val="en-US" w:eastAsia="zh-CN"/>
        </w:rPr>
        <w:t>30</w:t>
      </w:r>
      <w:r>
        <w:rPr>
          <w:rFonts w:hint="eastAsia" w:ascii="仿宋" w:hAnsi="仿宋" w:eastAsia="仿宋" w:cs="仿宋"/>
          <w:kern w:val="0"/>
          <w:sz w:val="24"/>
          <w:szCs w:val="22"/>
        </w:rPr>
        <w:t>】</w:t>
      </w:r>
      <w:permEnd w:id="3"/>
      <w:r>
        <w:rPr>
          <w:rFonts w:hint="eastAsia" w:ascii="仿宋" w:hAnsi="仿宋" w:eastAsia="仿宋" w:cs="仿宋"/>
          <w:kern w:val="0"/>
          <w:sz w:val="24"/>
          <w:szCs w:val="22"/>
        </w:rPr>
        <w:t>天内</w:t>
      </w:r>
      <w:r>
        <w:rPr>
          <w:rFonts w:hint="eastAsia" w:ascii="仿宋" w:hAnsi="仿宋" w:eastAsia="仿宋" w:cs="仿宋"/>
          <w:kern w:val="0"/>
          <w:sz w:val="24"/>
          <w:szCs w:val="22"/>
          <w:lang w:eastAsia="zh-CN"/>
        </w:rPr>
        <w:t>甲方</w:t>
      </w:r>
      <w:r>
        <w:rPr>
          <w:rFonts w:hint="eastAsia" w:ascii="仿宋" w:hAnsi="仿宋" w:eastAsia="仿宋" w:cs="仿宋"/>
          <w:kern w:val="0"/>
          <w:sz w:val="24"/>
          <w:szCs w:val="22"/>
        </w:rPr>
        <w:t>支付</w:t>
      </w:r>
      <w:r>
        <w:rPr>
          <w:rFonts w:hint="eastAsia" w:ascii="仿宋" w:hAnsi="仿宋" w:eastAsia="仿宋" w:cs="仿宋"/>
          <w:kern w:val="0"/>
          <w:sz w:val="24"/>
          <w:szCs w:val="22"/>
          <w:lang w:eastAsia="zh-CN"/>
        </w:rPr>
        <w:t>乙方</w:t>
      </w:r>
      <w:r>
        <w:rPr>
          <w:rFonts w:hint="eastAsia" w:ascii="仿宋" w:hAnsi="仿宋" w:eastAsia="仿宋" w:cs="仿宋"/>
          <w:kern w:val="0"/>
          <w:sz w:val="24"/>
          <w:szCs w:val="22"/>
        </w:rPr>
        <w:t>合同总额的</w:t>
      </w:r>
      <w:permStart w:id="4" w:edGrp="everyone"/>
      <w:r>
        <w:rPr>
          <w:rFonts w:hint="eastAsia" w:ascii="仿宋" w:hAnsi="仿宋" w:eastAsia="仿宋" w:cs="仿宋"/>
          <w:kern w:val="0"/>
          <w:sz w:val="24"/>
          <w:szCs w:val="22"/>
        </w:rPr>
        <w:t>【</w:t>
      </w:r>
      <w:r>
        <w:rPr>
          <w:rFonts w:hint="eastAsia" w:ascii="仿宋" w:hAnsi="仿宋" w:eastAsia="仿宋" w:cs="仿宋"/>
          <w:kern w:val="0"/>
          <w:sz w:val="24"/>
          <w:szCs w:val="22"/>
          <w:lang w:val="en-US" w:eastAsia="zh-CN"/>
        </w:rPr>
        <w:t>30</w:t>
      </w:r>
      <w:r>
        <w:rPr>
          <w:rFonts w:hint="eastAsia" w:ascii="仿宋" w:hAnsi="仿宋" w:eastAsia="仿宋" w:cs="仿宋"/>
          <w:kern w:val="0"/>
          <w:sz w:val="24"/>
          <w:szCs w:val="22"/>
        </w:rPr>
        <w:t>】</w:t>
      </w:r>
      <w:permEnd w:id="4"/>
      <w:r>
        <w:rPr>
          <w:rFonts w:hint="eastAsia" w:ascii="仿宋" w:hAnsi="仿宋" w:eastAsia="仿宋" w:cs="仿宋"/>
          <w:kern w:val="0"/>
          <w:sz w:val="24"/>
          <w:szCs w:val="22"/>
        </w:rPr>
        <w:t>%（以电汇或转账的方式支付），即人民币</w:t>
      </w:r>
      <w:permStart w:id="5" w:edGrp="everyone"/>
      <w:r>
        <w:rPr>
          <w:rFonts w:hint="eastAsia" w:ascii="仿宋" w:hAnsi="仿宋" w:eastAsia="仿宋" w:cs="仿宋"/>
          <w:kern w:val="0"/>
          <w:sz w:val="24"/>
          <w:szCs w:val="22"/>
        </w:rPr>
        <w:t>___________________</w:t>
      </w:r>
      <w:permEnd w:id="5"/>
      <w:r>
        <w:rPr>
          <w:rFonts w:hint="eastAsia" w:ascii="仿宋" w:hAnsi="仿宋" w:eastAsia="仿宋" w:cs="仿宋"/>
          <w:kern w:val="0"/>
          <w:sz w:val="24"/>
          <w:szCs w:val="22"/>
        </w:rPr>
        <w:t>；通过系统终验后</w:t>
      </w:r>
      <w:r>
        <w:rPr>
          <w:rFonts w:hint="eastAsia" w:ascii="仿宋" w:hAnsi="仿宋" w:eastAsia="仿宋" w:cs="仿宋"/>
          <w:kern w:val="0"/>
          <w:sz w:val="24"/>
          <w:szCs w:val="22"/>
          <w:lang w:eastAsia="zh-CN"/>
        </w:rPr>
        <w:t>甲方</w:t>
      </w:r>
      <w:r>
        <w:rPr>
          <w:rFonts w:hint="eastAsia" w:ascii="仿宋" w:hAnsi="仿宋" w:eastAsia="仿宋" w:cs="仿宋"/>
          <w:kern w:val="0"/>
          <w:sz w:val="24"/>
          <w:szCs w:val="22"/>
        </w:rPr>
        <w:t>支付</w:t>
      </w:r>
      <w:r>
        <w:rPr>
          <w:rFonts w:hint="eastAsia" w:ascii="仿宋" w:hAnsi="仿宋" w:eastAsia="仿宋" w:cs="仿宋"/>
          <w:kern w:val="0"/>
          <w:sz w:val="24"/>
          <w:szCs w:val="22"/>
          <w:lang w:eastAsia="zh-CN"/>
        </w:rPr>
        <w:t>乙方</w:t>
      </w:r>
      <w:r>
        <w:rPr>
          <w:rFonts w:hint="eastAsia" w:ascii="仿宋" w:hAnsi="仿宋" w:eastAsia="仿宋" w:cs="仿宋"/>
          <w:kern w:val="0"/>
          <w:sz w:val="24"/>
          <w:szCs w:val="22"/>
        </w:rPr>
        <w:t>合同总额的</w:t>
      </w:r>
      <w:permStart w:id="6" w:edGrp="everyone"/>
      <w:r>
        <w:rPr>
          <w:rFonts w:hint="eastAsia" w:ascii="仿宋" w:hAnsi="仿宋" w:eastAsia="仿宋" w:cs="仿宋"/>
          <w:kern w:val="0"/>
          <w:sz w:val="24"/>
          <w:szCs w:val="22"/>
        </w:rPr>
        <w:t>【</w:t>
      </w:r>
      <w:r>
        <w:rPr>
          <w:rFonts w:hint="eastAsia" w:ascii="仿宋" w:hAnsi="仿宋" w:eastAsia="仿宋" w:cs="仿宋"/>
          <w:kern w:val="0"/>
          <w:sz w:val="24"/>
          <w:szCs w:val="22"/>
          <w:lang w:val="en-US" w:eastAsia="zh-CN"/>
        </w:rPr>
        <w:t>60</w:t>
      </w:r>
      <w:r>
        <w:rPr>
          <w:rFonts w:hint="eastAsia" w:ascii="仿宋" w:hAnsi="仿宋" w:eastAsia="仿宋" w:cs="仿宋"/>
          <w:kern w:val="0"/>
          <w:sz w:val="24"/>
          <w:szCs w:val="22"/>
        </w:rPr>
        <w:t>】</w:t>
      </w:r>
      <w:permEnd w:id="6"/>
      <w:r>
        <w:rPr>
          <w:rFonts w:hint="eastAsia" w:ascii="仿宋" w:hAnsi="仿宋" w:eastAsia="仿宋" w:cs="仿宋"/>
          <w:kern w:val="0"/>
          <w:sz w:val="24"/>
          <w:szCs w:val="22"/>
        </w:rPr>
        <w:t>%（以半年期汇票支付），即人民币</w:t>
      </w:r>
      <w:permStart w:id="7" w:edGrp="everyone"/>
      <w:r>
        <w:rPr>
          <w:rFonts w:hint="eastAsia" w:ascii="仿宋" w:hAnsi="仿宋" w:eastAsia="仿宋" w:cs="仿宋"/>
          <w:kern w:val="0"/>
          <w:sz w:val="24"/>
          <w:szCs w:val="22"/>
        </w:rPr>
        <w:t>__________________</w:t>
      </w:r>
      <w:permEnd w:id="7"/>
      <w:r>
        <w:rPr>
          <w:rFonts w:hint="eastAsia" w:ascii="仿宋" w:hAnsi="仿宋" w:eastAsia="仿宋" w:cs="仿宋"/>
          <w:kern w:val="0"/>
          <w:sz w:val="24"/>
          <w:szCs w:val="22"/>
        </w:rPr>
        <w:t xml:space="preserve">_； </w:t>
      </w:r>
      <w:permStart w:id="8" w:edGrp="everyone"/>
      <w:r>
        <w:rPr>
          <w:rFonts w:hint="eastAsia" w:ascii="仿宋" w:hAnsi="仿宋" w:eastAsia="仿宋" w:cs="仿宋"/>
          <w:kern w:val="0"/>
          <w:sz w:val="24"/>
          <w:szCs w:val="22"/>
        </w:rPr>
        <w:t>【</w:t>
      </w:r>
      <w:r>
        <w:rPr>
          <w:rFonts w:hint="eastAsia" w:ascii="仿宋" w:hAnsi="仿宋" w:eastAsia="仿宋" w:cs="仿宋"/>
          <w:kern w:val="0"/>
          <w:sz w:val="24"/>
          <w:szCs w:val="22"/>
          <w:lang w:val="en-US" w:eastAsia="zh-CN"/>
        </w:rPr>
        <w:t>10</w:t>
      </w:r>
      <w:r>
        <w:rPr>
          <w:rFonts w:hint="eastAsia" w:ascii="仿宋" w:hAnsi="仿宋" w:eastAsia="仿宋" w:cs="仿宋"/>
          <w:kern w:val="0"/>
          <w:sz w:val="24"/>
          <w:szCs w:val="22"/>
        </w:rPr>
        <w:t>】</w:t>
      </w:r>
      <w:permEnd w:id="8"/>
      <w:r>
        <w:rPr>
          <w:rFonts w:hint="eastAsia" w:ascii="仿宋" w:hAnsi="仿宋" w:eastAsia="仿宋" w:cs="仿宋"/>
          <w:kern w:val="0"/>
          <w:sz w:val="24"/>
          <w:szCs w:val="22"/>
        </w:rPr>
        <w:t>%余款即人民币</w:t>
      </w:r>
      <w:permStart w:id="9" w:edGrp="everyone"/>
      <w:r>
        <w:rPr>
          <w:rFonts w:hint="eastAsia" w:ascii="仿宋" w:hAnsi="仿宋" w:eastAsia="仿宋" w:cs="仿宋"/>
          <w:kern w:val="0"/>
          <w:sz w:val="24"/>
          <w:szCs w:val="22"/>
        </w:rPr>
        <w:t>________________</w:t>
      </w:r>
      <w:permEnd w:id="9"/>
      <w:r>
        <w:rPr>
          <w:rFonts w:hint="eastAsia" w:ascii="仿宋" w:hAnsi="仿宋" w:eastAsia="仿宋" w:cs="仿宋"/>
          <w:kern w:val="0"/>
          <w:sz w:val="24"/>
          <w:szCs w:val="22"/>
        </w:rPr>
        <w:t>，作为质量保证金，在终验合格一年后的</w:t>
      </w:r>
      <w:permStart w:id="10" w:edGrp="everyone"/>
      <w:r>
        <w:rPr>
          <w:rFonts w:hint="eastAsia" w:ascii="仿宋" w:hAnsi="仿宋" w:eastAsia="仿宋" w:cs="仿宋"/>
          <w:kern w:val="0"/>
          <w:sz w:val="24"/>
          <w:szCs w:val="22"/>
        </w:rPr>
        <w:t>【</w:t>
      </w:r>
      <w:r>
        <w:rPr>
          <w:rFonts w:hint="eastAsia" w:ascii="仿宋" w:hAnsi="仿宋" w:eastAsia="仿宋" w:cs="仿宋"/>
          <w:kern w:val="0"/>
          <w:sz w:val="24"/>
          <w:szCs w:val="22"/>
          <w:lang w:val="en-US" w:eastAsia="zh-CN"/>
        </w:rPr>
        <w:t>10</w:t>
      </w:r>
      <w:r>
        <w:rPr>
          <w:rFonts w:hint="eastAsia" w:ascii="仿宋" w:hAnsi="仿宋" w:eastAsia="仿宋" w:cs="仿宋"/>
          <w:kern w:val="0"/>
          <w:sz w:val="24"/>
          <w:szCs w:val="22"/>
        </w:rPr>
        <w:t>】</w:t>
      </w:r>
      <w:permEnd w:id="10"/>
      <w:r>
        <w:rPr>
          <w:rFonts w:hint="eastAsia" w:ascii="仿宋" w:hAnsi="仿宋" w:eastAsia="仿宋" w:cs="仿宋"/>
          <w:kern w:val="0"/>
          <w:sz w:val="24"/>
          <w:szCs w:val="22"/>
        </w:rPr>
        <w:t>个工作日之内支付</w:t>
      </w:r>
      <w:permStart w:id="11" w:edGrp="everyone"/>
      <w:r>
        <w:rPr>
          <w:rFonts w:hint="eastAsia" w:ascii="仿宋" w:hAnsi="仿宋" w:eastAsia="仿宋" w:cs="仿宋"/>
          <w:kern w:val="0"/>
          <w:sz w:val="24"/>
          <w:szCs w:val="22"/>
        </w:rPr>
        <w:t>【</w:t>
      </w:r>
      <w:r>
        <w:rPr>
          <w:rFonts w:hint="eastAsia" w:ascii="仿宋" w:hAnsi="仿宋" w:eastAsia="仿宋" w:cs="仿宋"/>
          <w:kern w:val="0"/>
          <w:sz w:val="24"/>
          <w:szCs w:val="22"/>
          <w:lang w:val="en-US" w:eastAsia="zh-CN"/>
        </w:rPr>
        <w:t>7</w:t>
      </w:r>
      <w:r>
        <w:rPr>
          <w:rFonts w:hint="eastAsia" w:ascii="仿宋" w:hAnsi="仿宋" w:eastAsia="仿宋" w:cs="仿宋"/>
          <w:kern w:val="0"/>
          <w:sz w:val="24"/>
          <w:szCs w:val="22"/>
        </w:rPr>
        <w:t>】</w:t>
      </w:r>
      <w:permEnd w:id="11"/>
      <w:r>
        <w:rPr>
          <w:rFonts w:hint="eastAsia" w:ascii="仿宋" w:hAnsi="仿宋" w:eastAsia="仿宋" w:cs="仿宋"/>
          <w:kern w:val="0"/>
          <w:sz w:val="24"/>
          <w:szCs w:val="22"/>
        </w:rPr>
        <w:t>%，如</w:t>
      </w:r>
      <w:r>
        <w:rPr>
          <w:rFonts w:hint="eastAsia" w:ascii="仿宋" w:hAnsi="仿宋" w:eastAsia="仿宋" w:cs="仿宋"/>
          <w:kern w:val="0"/>
          <w:sz w:val="24"/>
          <w:szCs w:val="22"/>
          <w:lang w:eastAsia="zh-CN"/>
        </w:rPr>
        <w:t>乙方</w:t>
      </w:r>
      <w:r>
        <w:rPr>
          <w:rFonts w:hint="eastAsia" w:ascii="仿宋" w:hAnsi="仿宋" w:eastAsia="仿宋" w:cs="仿宋"/>
          <w:kern w:val="0"/>
          <w:sz w:val="24"/>
          <w:szCs w:val="22"/>
        </w:rPr>
        <w:t>此时向</w:t>
      </w:r>
      <w:r>
        <w:rPr>
          <w:rFonts w:hint="eastAsia" w:ascii="仿宋" w:hAnsi="仿宋" w:eastAsia="仿宋" w:cs="仿宋"/>
          <w:kern w:val="0"/>
          <w:sz w:val="24"/>
          <w:szCs w:val="22"/>
          <w:lang w:eastAsia="zh-CN"/>
        </w:rPr>
        <w:t>甲方</w:t>
      </w:r>
      <w:r>
        <w:rPr>
          <w:rFonts w:hint="eastAsia" w:ascii="仿宋" w:hAnsi="仿宋" w:eastAsia="仿宋" w:cs="仿宋"/>
          <w:kern w:val="0"/>
          <w:sz w:val="24"/>
          <w:szCs w:val="22"/>
        </w:rPr>
        <w:t>开据合同总额</w:t>
      </w:r>
      <w:permStart w:id="12" w:edGrp="everyone"/>
      <w:r>
        <w:rPr>
          <w:rFonts w:hint="eastAsia" w:ascii="仿宋" w:hAnsi="仿宋" w:eastAsia="仿宋" w:cs="仿宋"/>
          <w:kern w:val="0"/>
          <w:sz w:val="24"/>
          <w:szCs w:val="22"/>
        </w:rPr>
        <w:t>【</w:t>
      </w:r>
      <w:r>
        <w:rPr>
          <w:rFonts w:hint="eastAsia" w:ascii="仿宋" w:hAnsi="仿宋" w:eastAsia="仿宋" w:cs="仿宋"/>
          <w:kern w:val="0"/>
          <w:sz w:val="24"/>
          <w:szCs w:val="22"/>
          <w:lang w:val="en-US" w:eastAsia="zh-CN"/>
        </w:rPr>
        <w:t>3</w:t>
      </w:r>
      <w:r>
        <w:rPr>
          <w:rFonts w:hint="eastAsia" w:ascii="仿宋" w:hAnsi="仿宋" w:eastAsia="仿宋" w:cs="仿宋"/>
          <w:kern w:val="0"/>
          <w:sz w:val="24"/>
          <w:szCs w:val="22"/>
        </w:rPr>
        <w:t>】</w:t>
      </w:r>
      <w:permEnd w:id="12"/>
      <w:r>
        <w:rPr>
          <w:rFonts w:hint="eastAsia" w:ascii="仿宋" w:hAnsi="仿宋" w:eastAsia="仿宋" w:cs="仿宋"/>
          <w:kern w:val="0"/>
          <w:sz w:val="24"/>
          <w:szCs w:val="22"/>
        </w:rPr>
        <w:t>%的银行保函（此保函须在免费包修期结束后到期），</w:t>
      </w:r>
      <w:r>
        <w:rPr>
          <w:rFonts w:hint="eastAsia" w:ascii="仿宋" w:hAnsi="仿宋" w:eastAsia="仿宋" w:cs="仿宋"/>
          <w:kern w:val="0"/>
          <w:sz w:val="24"/>
          <w:szCs w:val="22"/>
          <w:lang w:eastAsia="zh-CN"/>
        </w:rPr>
        <w:t>甲方</w:t>
      </w:r>
      <w:r>
        <w:rPr>
          <w:rFonts w:hint="eastAsia" w:ascii="仿宋" w:hAnsi="仿宋" w:eastAsia="仿宋" w:cs="仿宋"/>
          <w:kern w:val="0"/>
          <w:sz w:val="24"/>
          <w:szCs w:val="22"/>
        </w:rPr>
        <w:t>在此时将尾款结清（即合同总价的</w:t>
      </w:r>
      <w:permStart w:id="13" w:edGrp="everyone"/>
      <w:r>
        <w:rPr>
          <w:rFonts w:hint="eastAsia" w:ascii="仿宋" w:hAnsi="仿宋" w:eastAsia="仿宋" w:cs="仿宋"/>
          <w:kern w:val="0"/>
          <w:sz w:val="24"/>
          <w:szCs w:val="22"/>
        </w:rPr>
        <w:t>【</w:t>
      </w:r>
      <w:r>
        <w:rPr>
          <w:rFonts w:hint="eastAsia" w:ascii="仿宋" w:hAnsi="仿宋" w:eastAsia="仿宋" w:cs="仿宋"/>
          <w:kern w:val="0"/>
          <w:sz w:val="24"/>
          <w:szCs w:val="22"/>
          <w:lang w:val="en-US" w:eastAsia="zh-CN"/>
        </w:rPr>
        <w:t>10</w:t>
      </w:r>
      <w:r>
        <w:rPr>
          <w:rFonts w:hint="eastAsia" w:ascii="仿宋" w:hAnsi="仿宋" w:eastAsia="仿宋" w:cs="仿宋"/>
          <w:kern w:val="0"/>
          <w:sz w:val="24"/>
          <w:szCs w:val="22"/>
        </w:rPr>
        <w:t>】</w:t>
      </w:r>
      <w:permEnd w:id="13"/>
      <w:r>
        <w:rPr>
          <w:rFonts w:hint="eastAsia" w:ascii="仿宋" w:hAnsi="仿宋" w:eastAsia="仿宋" w:cs="仿宋"/>
          <w:kern w:val="0"/>
          <w:sz w:val="24"/>
          <w:szCs w:val="22"/>
        </w:rPr>
        <w:t>%），否则</w:t>
      </w:r>
      <w:r>
        <w:rPr>
          <w:rFonts w:hint="eastAsia" w:ascii="仿宋" w:hAnsi="仿宋" w:eastAsia="仿宋" w:cs="仿宋"/>
          <w:kern w:val="0"/>
          <w:sz w:val="24"/>
          <w:szCs w:val="22"/>
          <w:lang w:eastAsia="zh-CN"/>
        </w:rPr>
        <w:t>甲方</w:t>
      </w:r>
      <w:r>
        <w:rPr>
          <w:rFonts w:hint="eastAsia" w:ascii="仿宋" w:hAnsi="仿宋" w:eastAsia="仿宋" w:cs="仿宋"/>
          <w:kern w:val="0"/>
          <w:sz w:val="24"/>
          <w:szCs w:val="22"/>
        </w:rPr>
        <w:t>将在免费保修期结束后的</w:t>
      </w:r>
      <w:permStart w:id="14" w:edGrp="everyone"/>
      <w:r>
        <w:rPr>
          <w:rFonts w:hint="eastAsia" w:ascii="仿宋" w:hAnsi="仿宋" w:eastAsia="仿宋" w:cs="仿宋"/>
          <w:kern w:val="0"/>
          <w:sz w:val="24"/>
          <w:szCs w:val="22"/>
        </w:rPr>
        <w:t>【</w:t>
      </w:r>
      <w:r>
        <w:rPr>
          <w:rFonts w:hint="eastAsia" w:ascii="仿宋" w:hAnsi="仿宋" w:eastAsia="仿宋" w:cs="仿宋"/>
          <w:kern w:val="0"/>
          <w:sz w:val="24"/>
          <w:szCs w:val="22"/>
          <w:lang w:val="en-US" w:eastAsia="zh-CN"/>
        </w:rPr>
        <w:t>10</w:t>
      </w:r>
      <w:r>
        <w:rPr>
          <w:rFonts w:hint="eastAsia" w:ascii="仿宋" w:hAnsi="仿宋" w:eastAsia="仿宋" w:cs="仿宋"/>
          <w:kern w:val="0"/>
          <w:sz w:val="24"/>
          <w:szCs w:val="22"/>
        </w:rPr>
        <w:t>】</w:t>
      </w:r>
      <w:permEnd w:id="14"/>
      <w:r>
        <w:rPr>
          <w:rFonts w:hint="eastAsia" w:ascii="仿宋" w:hAnsi="仿宋" w:eastAsia="仿宋" w:cs="仿宋"/>
          <w:kern w:val="0"/>
          <w:sz w:val="24"/>
          <w:szCs w:val="22"/>
        </w:rPr>
        <w:t>个工作日之内支付剩余的</w:t>
      </w:r>
      <w:permStart w:id="15" w:edGrp="everyone"/>
      <w:r>
        <w:rPr>
          <w:rFonts w:hint="eastAsia" w:ascii="仿宋" w:hAnsi="仿宋" w:eastAsia="仿宋" w:cs="仿宋"/>
          <w:kern w:val="0"/>
          <w:sz w:val="24"/>
          <w:szCs w:val="22"/>
        </w:rPr>
        <w:t>【</w:t>
      </w:r>
      <w:r>
        <w:rPr>
          <w:rFonts w:hint="eastAsia" w:ascii="仿宋" w:hAnsi="仿宋" w:eastAsia="仿宋" w:cs="仿宋"/>
          <w:kern w:val="0"/>
          <w:sz w:val="24"/>
          <w:szCs w:val="22"/>
          <w:lang w:val="en-US" w:eastAsia="zh-CN"/>
        </w:rPr>
        <w:t>3</w:t>
      </w:r>
      <w:r>
        <w:rPr>
          <w:rFonts w:hint="eastAsia" w:ascii="仿宋" w:hAnsi="仿宋" w:eastAsia="仿宋" w:cs="仿宋"/>
          <w:kern w:val="0"/>
          <w:sz w:val="24"/>
          <w:szCs w:val="22"/>
        </w:rPr>
        <w:t>】</w:t>
      </w:r>
      <w:permEnd w:id="15"/>
      <w:r>
        <w:rPr>
          <w:rFonts w:hint="eastAsia" w:ascii="仿宋" w:hAnsi="仿宋" w:eastAsia="仿宋" w:cs="仿宋"/>
          <w:kern w:val="0"/>
          <w:sz w:val="24"/>
          <w:szCs w:val="22"/>
        </w:rPr>
        <w:t>%给</w:t>
      </w:r>
      <w:r>
        <w:rPr>
          <w:rFonts w:hint="eastAsia" w:ascii="仿宋" w:hAnsi="仿宋" w:eastAsia="仿宋" w:cs="仿宋"/>
          <w:kern w:val="0"/>
          <w:sz w:val="24"/>
          <w:szCs w:val="22"/>
          <w:lang w:eastAsia="zh-CN"/>
        </w:rPr>
        <w:t>乙方</w:t>
      </w:r>
      <w:r>
        <w:rPr>
          <w:rFonts w:hint="eastAsia" w:ascii="仿宋" w:hAnsi="仿宋" w:eastAsia="仿宋" w:cs="仿宋"/>
          <w:kern w:val="0"/>
          <w:sz w:val="24"/>
          <w:szCs w:val="22"/>
        </w:rPr>
        <w:t>。</w:t>
      </w:r>
    </w:p>
    <w:p>
      <w:pPr>
        <w:numPr>
          <w:ilvl w:val="0"/>
          <w:numId w:val="0"/>
        </w:numPr>
        <w:snapToGrid w:val="0"/>
        <w:spacing w:before="0" w:beforeLines="0" w:after="0" w:afterLines="0" w:line="240" w:lineRule="auto"/>
        <w:ind w:left="0" w:firstLine="480" w:firstLineChars="200"/>
        <w:rPr>
          <w:rFonts w:hint="eastAsia" w:ascii="仿宋" w:hAnsi="仿宋" w:eastAsia="仿宋" w:cs="仿宋"/>
          <w:kern w:val="0"/>
          <w:sz w:val="24"/>
          <w:szCs w:val="22"/>
        </w:rPr>
      </w:pPr>
      <w:r>
        <w:rPr>
          <w:rFonts w:hint="eastAsia" w:ascii="仿宋" w:hAnsi="仿宋" w:eastAsia="仿宋" w:cs="仿宋"/>
          <w:kern w:val="0"/>
          <w:sz w:val="24"/>
          <w:szCs w:val="22"/>
        </w:rPr>
        <w:t>3.</w:t>
      </w:r>
      <w:r>
        <w:rPr>
          <w:rFonts w:hint="eastAsia" w:ascii="仿宋" w:hAnsi="仿宋" w:eastAsia="仿宋" w:cs="仿宋"/>
          <w:kern w:val="0"/>
          <w:sz w:val="24"/>
          <w:szCs w:val="22"/>
          <w:lang w:val="en-US" w:eastAsia="zh-CN"/>
        </w:rPr>
        <w:t>3</w:t>
      </w:r>
      <w:r>
        <w:rPr>
          <w:rFonts w:hint="eastAsia" w:ascii="仿宋" w:hAnsi="仿宋" w:eastAsia="仿宋" w:cs="仿宋"/>
          <w:kern w:val="0"/>
          <w:sz w:val="24"/>
          <w:szCs w:val="22"/>
        </w:rPr>
        <w:t>质量保证金：质量保证金包含对履约的保证、对质量的保证。在合同履行过程中，如</w:t>
      </w:r>
      <w:r>
        <w:rPr>
          <w:rFonts w:hint="eastAsia" w:ascii="仿宋" w:hAnsi="仿宋" w:eastAsia="仿宋" w:cs="仿宋"/>
          <w:kern w:val="0"/>
          <w:sz w:val="24"/>
          <w:szCs w:val="22"/>
          <w:lang w:eastAsia="zh-CN"/>
        </w:rPr>
        <w:t>乙方</w:t>
      </w:r>
      <w:r>
        <w:rPr>
          <w:rFonts w:hint="eastAsia" w:ascii="仿宋" w:hAnsi="仿宋" w:eastAsia="仿宋" w:cs="仿宋"/>
          <w:kern w:val="0"/>
          <w:sz w:val="24"/>
          <w:szCs w:val="22"/>
        </w:rPr>
        <w:t>应承担履约保证、质量保证中约定的保证责任，</w:t>
      </w:r>
      <w:r>
        <w:rPr>
          <w:rFonts w:hint="eastAsia" w:ascii="仿宋" w:hAnsi="仿宋" w:eastAsia="仿宋" w:cs="仿宋"/>
          <w:kern w:val="0"/>
          <w:sz w:val="24"/>
          <w:szCs w:val="22"/>
          <w:lang w:eastAsia="zh-CN"/>
        </w:rPr>
        <w:t>甲方</w:t>
      </w:r>
      <w:r>
        <w:rPr>
          <w:rFonts w:hint="eastAsia" w:ascii="仿宋" w:hAnsi="仿宋" w:eastAsia="仿宋" w:cs="仿宋"/>
          <w:kern w:val="0"/>
          <w:sz w:val="24"/>
          <w:szCs w:val="22"/>
        </w:rPr>
        <w:t>有权直接在质量保证金中扣除；扣除后保证金不足的，</w:t>
      </w:r>
      <w:r>
        <w:rPr>
          <w:rFonts w:hint="eastAsia" w:ascii="仿宋" w:hAnsi="仿宋" w:eastAsia="仿宋" w:cs="仿宋"/>
          <w:kern w:val="0"/>
          <w:sz w:val="24"/>
          <w:szCs w:val="22"/>
          <w:lang w:eastAsia="zh-CN"/>
        </w:rPr>
        <w:t>乙方</w:t>
      </w:r>
      <w:r>
        <w:rPr>
          <w:rFonts w:hint="eastAsia" w:ascii="仿宋" w:hAnsi="仿宋" w:eastAsia="仿宋" w:cs="仿宋"/>
          <w:kern w:val="0"/>
          <w:sz w:val="24"/>
          <w:szCs w:val="22"/>
        </w:rPr>
        <w:t>应在</w:t>
      </w:r>
      <w:permStart w:id="16" w:edGrp="everyone"/>
      <w:r>
        <w:rPr>
          <w:rFonts w:hint="eastAsia" w:ascii="仿宋" w:hAnsi="仿宋" w:eastAsia="仿宋" w:cs="仿宋"/>
          <w:kern w:val="0"/>
          <w:sz w:val="24"/>
          <w:szCs w:val="22"/>
        </w:rPr>
        <w:t>【</w:t>
      </w:r>
      <w:r>
        <w:rPr>
          <w:rFonts w:hint="eastAsia" w:ascii="仿宋" w:hAnsi="仿宋" w:eastAsia="仿宋" w:cs="仿宋"/>
          <w:kern w:val="0"/>
          <w:sz w:val="24"/>
          <w:szCs w:val="22"/>
          <w:lang w:val="en-US" w:eastAsia="zh-CN"/>
        </w:rPr>
        <w:t>10</w:t>
      </w:r>
      <w:r>
        <w:rPr>
          <w:rFonts w:hint="eastAsia" w:ascii="仿宋" w:hAnsi="仿宋" w:eastAsia="仿宋" w:cs="仿宋"/>
          <w:kern w:val="0"/>
          <w:sz w:val="24"/>
          <w:szCs w:val="22"/>
        </w:rPr>
        <w:t>】</w:t>
      </w:r>
      <w:permEnd w:id="16"/>
      <w:r>
        <w:rPr>
          <w:rFonts w:hint="eastAsia" w:ascii="仿宋" w:hAnsi="仿宋" w:eastAsia="仿宋" w:cs="仿宋"/>
          <w:kern w:val="0"/>
          <w:sz w:val="24"/>
          <w:szCs w:val="22"/>
        </w:rPr>
        <w:t>个工作日内补足，或由</w:t>
      </w:r>
      <w:r>
        <w:rPr>
          <w:rFonts w:hint="eastAsia" w:ascii="仿宋" w:hAnsi="仿宋" w:eastAsia="仿宋" w:cs="仿宋"/>
          <w:kern w:val="0"/>
          <w:sz w:val="24"/>
          <w:szCs w:val="22"/>
          <w:lang w:eastAsia="zh-CN"/>
        </w:rPr>
        <w:t>甲方</w:t>
      </w:r>
      <w:r>
        <w:rPr>
          <w:rFonts w:hint="eastAsia" w:ascii="仿宋" w:hAnsi="仿宋" w:eastAsia="仿宋" w:cs="仿宋"/>
          <w:kern w:val="0"/>
          <w:sz w:val="24"/>
          <w:szCs w:val="22"/>
        </w:rPr>
        <w:t>直接在应付账款中扣除。</w:t>
      </w:r>
    </w:p>
    <w:p>
      <w:pPr>
        <w:numPr>
          <w:ilvl w:val="0"/>
          <w:numId w:val="0"/>
        </w:numPr>
        <w:snapToGrid w:val="0"/>
        <w:spacing w:before="0" w:beforeLines="0" w:after="0" w:afterLines="0" w:line="240" w:lineRule="auto"/>
        <w:ind w:left="0" w:firstLine="480" w:firstLineChars="200"/>
        <w:rPr>
          <w:rFonts w:hint="eastAsia" w:ascii="仿宋" w:hAnsi="仿宋" w:eastAsia="仿宋" w:cs="仿宋"/>
          <w:kern w:val="0"/>
          <w:sz w:val="24"/>
          <w:szCs w:val="22"/>
        </w:rPr>
      </w:pPr>
      <w:r>
        <w:rPr>
          <w:rFonts w:hint="eastAsia" w:ascii="仿宋" w:hAnsi="仿宋" w:eastAsia="仿宋" w:cs="仿宋"/>
          <w:kern w:val="0"/>
          <w:sz w:val="24"/>
          <w:szCs w:val="22"/>
          <w:lang w:eastAsia="zh-CN"/>
        </w:rPr>
        <w:t>3</w:t>
      </w: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rPr>
        <w:t>所有付款前，</w:t>
      </w:r>
      <w:r>
        <w:rPr>
          <w:rFonts w:hint="eastAsia" w:ascii="仿宋" w:hAnsi="仿宋" w:eastAsia="仿宋" w:cs="仿宋"/>
          <w:kern w:val="0"/>
          <w:sz w:val="24"/>
          <w:szCs w:val="22"/>
          <w:lang w:eastAsia="zh-CN"/>
        </w:rPr>
        <w:t>乙方</w:t>
      </w:r>
      <w:r>
        <w:rPr>
          <w:rFonts w:hint="eastAsia" w:ascii="仿宋" w:hAnsi="仿宋" w:eastAsia="仿宋" w:cs="仿宋"/>
          <w:kern w:val="0"/>
          <w:sz w:val="24"/>
          <w:szCs w:val="22"/>
        </w:rPr>
        <w:t>必须按照国家有关发票管理规定，向</w:t>
      </w:r>
      <w:r>
        <w:rPr>
          <w:rFonts w:hint="eastAsia" w:ascii="仿宋" w:hAnsi="仿宋" w:eastAsia="仿宋" w:cs="仿宋"/>
          <w:kern w:val="0"/>
          <w:sz w:val="24"/>
          <w:szCs w:val="22"/>
          <w:lang w:eastAsia="zh-CN"/>
        </w:rPr>
        <w:t>甲方</w:t>
      </w:r>
      <w:r>
        <w:rPr>
          <w:rFonts w:hint="eastAsia" w:ascii="仿宋" w:hAnsi="仿宋" w:eastAsia="仿宋" w:cs="仿宋"/>
          <w:kern w:val="0"/>
          <w:sz w:val="24"/>
          <w:szCs w:val="22"/>
        </w:rPr>
        <w:t>提供相应的增值税专用发票，由</w:t>
      </w:r>
      <w:r>
        <w:rPr>
          <w:rFonts w:hint="eastAsia" w:ascii="仿宋" w:hAnsi="仿宋" w:eastAsia="仿宋" w:cs="仿宋"/>
          <w:kern w:val="0"/>
          <w:sz w:val="24"/>
          <w:szCs w:val="22"/>
          <w:lang w:eastAsia="zh-CN"/>
        </w:rPr>
        <w:t>甲方</w:t>
      </w:r>
      <w:r>
        <w:rPr>
          <w:rFonts w:hint="eastAsia" w:ascii="仿宋" w:hAnsi="仿宋" w:eastAsia="仿宋" w:cs="仿宋"/>
          <w:kern w:val="0"/>
          <w:sz w:val="24"/>
          <w:szCs w:val="22"/>
        </w:rPr>
        <w:t>审核认为无误后再支付货款，否则</w:t>
      </w:r>
      <w:r>
        <w:rPr>
          <w:rFonts w:hint="eastAsia" w:ascii="仿宋" w:hAnsi="仿宋" w:eastAsia="仿宋" w:cs="仿宋"/>
          <w:kern w:val="0"/>
          <w:sz w:val="24"/>
          <w:szCs w:val="22"/>
          <w:lang w:eastAsia="zh-CN"/>
        </w:rPr>
        <w:t>甲方</w:t>
      </w:r>
      <w:r>
        <w:rPr>
          <w:rFonts w:hint="eastAsia" w:ascii="仿宋" w:hAnsi="仿宋" w:eastAsia="仿宋" w:cs="仿宋"/>
          <w:kern w:val="0"/>
          <w:sz w:val="24"/>
          <w:szCs w:val="22"/>
        </w:rPr>
        <w:t>有权拒绝或迟延支付货款，且不影响</w:t>
      </w:r>
      <w:r>
        <w:rPr>
          <w:rFonts w:hint="eastAsia" w:ascii="仿宋" w:hAnsi="仿宋" w:eastAsia="仿宋" w:cs="仿宋"/>
          <w:kern w:val="0"/>
          <w:sz w:val="24"/>
          <w:szCs w:val="22"/>
          <w:lang w:eastAsia="zh-CN"/>
        </w:rPr>
        <w:t>乙方</w:t>
      </w:r>
      <w:r>
        <w:rPr>
          <w:rFonts w:hint="eastAsia" w:ascii="仿宋" w:hAnsi="仿宋" w:eastAsia="仿宋" w:cs="仿宋"/>
          <w:kern w:val="0"/>
          <w:sz w:val="24"/>
          <w:szCs w:val="22"/>
        </w:rPr>
        <w:t>履行本合同项下的义务，给</w:t>
      </w:r>
      <w:r>
        <w:rPr>
          <w:rFonts w:hint="eastAsia" w:ascii="仿宋" w:hAnsi="仿宋" w:eastAsia="仿宋" w:cs="仿宋"/>
          <w:kern w:val="0"/>
          <w:sz w:val="24"/>
          <w:szCs w:val="22"/>
          <w:lang w:eastAsia="zh-CN"/>
        </w:rPr>
        <w:t>甲方</w:t>
      </w:r>
      <w:r>
        <w:rPr>
          <w:rFonts w:hint="eastAsia" w:ascii="仿宋" w:hAnsi="仿宋" w:eastAsia="仿宋" w:cs="仿宋"/>
          <w:kern w:val="0"/>
          <w:sz w:val="24"/>
          <w:szCs w:val="22"/>
        </w:rPr>
        <w:t>造成的损失由</w:t>
      </w:r>
      <w:r>
        <w:rPr>
          <w:rFonts w:hint="eastAsia" w:ascii="仿宋" w:hAnsi="仿宋" w:eastAsia="仿宋" w:cs="仿宋"/>
          <w:kern w:val="0"/>
          <w:sz w:val="24"/>
          <w:szCs w:val="22"/>
          <w:lang w:eastAsia="zh-CN"/>
        </w:rPr>
        <w:t>乙方</w:t>
      </w:r>
      <w:r>
        <w:rPr>
          <w:rFonts w:hint="eastAsia" w:ascii="仿宋" w:hAnsi="仿宋" w:eastAsia="仿宋" w:cs="仿宋"/>
          <w:kern w:val="0"/>
          <w:sz w:val="24"/>
          <w:szCs w:val="22"/>
        </w:rPr>
        <w:t>承担。</w:t>
      </w:r>
    </w:p>
    <w:p>
      <w:pPr>
        <w:numPr>
          <w:ilvl w:val="0"/>
          <w:numId w:val="0"/>
        </w:numPr>
        <w:snapToGrid w:val="0"/>
        <w:spacing w:before="0" w:beforeLines="0" w:after="0" w:afterLines="0" w:line="240" w:lineRule="auto"/>
        <w:ind w:left="0" w:firstLine="480" w:firstLineChars="200"/>
        <w:rPr>
          <w:rFonts w:hint="eastAsia" w:ascii="仿宋" w:hAnsi="仿宋" w:eastAsia="仿宋" w:cs="仿宋"/>
          <w:kern w:val="0"/>
          <w:sz w:val="24"/>
          <w:szCs w:val="22"/>
        </w:rPr>
      </w:pPr>
      <w:r>
        <w:rPr>
          <w:rFonts w:hint="eastAsia" w:ascii="仿宋" w:hAnsi="仿宋" w:eastAsia="仿宋" w:cs="仿宋"/>
          <w:kern w:val="0"/>
          <w:sz w:val="24"/>
          <w:szCs w:val="22"/>
          <w:lang w:val="en-US" w:eastAsia="zh-CN"/>
        </w:rPr>
        <w:t>3.5</w:t>
      </w:r>
      <w:r>
        <w:rPr>
          <w:rFonts w:hint="eastAsia" w:ascii="仿宋" w:hAnsi="仿宋" w:eastAsia="仿宋" w:cs="仿宋"/>
          <w:kern w:val="0"/>
          <w:sz w:val="24"/>
          <w:szCs w:val="22"/>
        </w:rPr>
        <w:t>扣款细则</w:t>
      </w:r>
    </w:p>
    <w:p>
      <w:pPr>
        <w:snapToGrid w:val="0"/>
        <w:spacing w:before="0" w:beforeLines="0" w:after="0" w:afterLines="0" w:line="240" w:lineRule="auto"/>
        <w:ind w:firstLine="480" w:firstLineChars="200"/>
        <w:rPr>
          <w:rFonts w:hint="eastAsia" w:ascii="仿宋" w:hAnsi="仿宋" w:eastAsia="仿宋" w:cs="仿宋"/>
          <w:kern w:val="0"/>
          <w:sz w:val="24"/>
          <w:szCs w:val="22"/>
        </w:rPr>
      </w:pPr>
      <w:r>
        <w:rPr>
          <w:rFonts w:hint="eastAsia" w:ascii="仿宋" w:hAnsi="仿宋" w:eastAsia="仿宋" w:cs="仿宋"/>
          <w:kern w:val="0"/>
          <w:sz w:val="24"/>
          <w:szCs w:val="22"/>
          <w:lang w:eastAsia="zh-CN"/>
        </w:rPr>
        <w:t>乙方</w:t>
      </w:r>
      <w:r>
        <w:rPr>
          <w:rFonts w:hint="eastAsia" w:ascii="仿宋" w:hAnsi="仿宋" w:eastAsia="仿宋" w:cs="仿宋"/>
          <w:kern w:val="0"/>
          <w:sz w:val="24"/>
          <w:szCs w:val="22"/>
        </w:rPr>
        <w:t>履行义务期间，存在以下情况时，</w:t>
      </w:r>
      <w:r>
        <w:rPr>
          <w:rFonts w:hint="eastAsia" w:ascii="仿宋" w:hAnsi="仿宋" w:eastAsia="仿宋" w:cs="仿宋"/>
          <w:kern w:val="0"/>
          <w:sz w:val="24"/>
          <w:szCs w:val="22"/>
          <w:lang w:eastAsia="zh-CN"/>
        </w:rPr>
        <w:t>甲方</w:t>
      </w:r>
      <w:r>
        <w:rPr>
          <w:rFonts w:hint="eastAsia" w:ascii="仿宋" w:hAnsi="仿宋" w:eastAsia="仿宋" w:cs="仿宋"/>
          <w:kern w:val="0"/>
          <w:sz w:val="24"/>
          <w:szCs w:val="22"/>
        </w:rPr>
        <w:t>可视情况进行相应的扣款。</w:t>
      </w:r>
    </w:p>
    <w:tbl>
      <w:tblPr>
        <w:tblStyle w:val="53"/>
        <w:tblW w:w="89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268"/>
        <w:gridCol w:w="2546"/>
        <w:gridCol w:w="2141"/>
        <w:gridCol w:w="1146"/>
        <w:gridCol w:w="11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674" w:type="dxa"/>
            <w:noWrap w:val="0"/>
            <w:vAlign w:val="top"/>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268" w:type="dxa"/>
            <w:noWrap w:val="0"/>
            <w:vAlign w:val="top"/>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费用类别</w:t>
            </w:r>
          </w:p>
        </w:tc>
        <w:tc>
          <w:tcPr>
            <w:tcW w:w="2546" w:type="dxa"/>
            <w:noWrap w:val="0"/>
            <w:vAlign w:val="top"/>
          </w:tcPr>
          <w:p>
            <w:pPr>
              <w:adjustRightInd w:val="0"/>
              <w:snapToGrid w:val="0"/>
              <w:spacing w:line="240" w:lineRule="auto"/>
              <w:ind w:firstLine="420"/>
              <w:rPr>
                <w:rFonts w:hint="eastAsia" w:ascii="仿宋" w:hAnsi="仿宋" w:eastAsia="仿宋" w:cs="仿宋"/>
                <w:sz w:val="24"/>
                <w:szCs w:val="24"/>
              </w:rPr>
            </w:pPr>
            <w:r>
              <w:rPr>
                <w:rFonts w:hint="eastAsia" w:ascii="仿宋" w:hAnsi="仿宋" w:eastAsia="仿宋" w:cs="仿宋"/>
                <w:sz w:val="24"/>
                <w:szCs w:val="24"/>
              </w:rPr>
              <w:t>适用状况</w:t>
            </w:r>
          </w:p>
        </w:tc>
        <w:tc>
          <w:tcPr>
            <w:tcW w:w="2141" w:type="dxa"/>
            <w:noWrap w:val="0"/>
            <w:vAlign w:val="top"/>
          </w:tcPr>
          <w:p>
            <w:pPr>
              <w:adjustRightInd w:val="0"/>
              <w:snapToGrid w:val="0"/>
              <w:spacing w:line="240" w:lineRule="auto"/>
              <w:ind w:firstLine="420"/>
              <w:rPr>
                <w:rFonts w:hint="eastAsia" w:ascii="仿宋" w:hAnsi="仿宋" w:eastAsia="仿宋" w:cs="仿宋"/>
                <w:sz w:val="24"/>
                <w:szCs w:val="24"/>
              </w:rPr>
            </w:pPr>
            <w:r>
              <w:rPr>
                <w:rFonts w:hint="eastAsia" w:ascii="仿宋" w:hAnsi="仿宋" w:eastAsia="仿宋" w:cs="仿宋"/>
                <w:sz w:val="24"/>
                <w:szCs w:val="24"/>
              </w:rPr>
              <w:t>执行方法</w:t>
            </w:r>
          </w:p>
        </w:tc>
        <w:tc>
          <w:tcPr>
            <w:tcW w:w="1146" w:type="dxa"/>
            <w:noWrap w:val="0"/>
            <w:vAlign w:val="top"/>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罚款金额</w:t>
            </w:r>
          </w:p>
        </w:tc>
        <w:tc>
          <w:tcPr>
            <w:tcW w:w="1159" w:type="dxa"/>
            <w:noWrap w:val="0"/>
            <w:vAlign w:val="top"/>
          </w:tcPr>
          <w:p>
            <w:pPr>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noWrap w:val="0"/>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1268" w:type="dxa"/>
            <w:noWrap w:val="0"/>
            <w:vAlign w:val="top"/>
          </w:tcPr>
          <w:p>
            <w:pPr>
              <w:adjustRightInd w:val="0"/>
              <w:snapToGrid w:val="0"/>
              <w:spacing w:line="240" w:lineRule="auto"/>
              <w:jc w:val="left"/>
              <w:rPr>
                <w:rFonts w:hint="eastAsia" w:ascii="仿宋" w:hAnsi="仿宋" w:eastAsia="仿宋" w:cs="仿宋"/>
                <w:sz w:val="24"/>
                <w:szCs w:val="24"/>
              </w:rPr>
            </w:pPr>
            <w:r>
              <w:rPr>
                <w:rFonts w:hint="eastAsia" w:ascii="仿宋" w:hAnsi="仿宋" w:eastAsia="仿宋" w:cs="仿宋"/>
                <w:sz w:val="24"/>
                <w:szCs w:val="24"/>
              </w:rPr>
              <w:t>产品质量不合格</w:t>
            </w:r>
          </w:p>
        </w:tc>
        <w:tc>
          <w:tcPr>
            <w:tcW w:w="2546" w:type="dxa"/>
            <w:noWrap w:val="0"/>
            <w:vAlign w:val="top"/>
          </w:tcPr>
          <w:p>
            <w:pPr>
              <w:adjustRightInd w:val="0"/>
              <w:snapToGrid w:val="0"/>
              <w:spacing w:line="240" w:lineRule="auto"/>
              <w:jc w:val="left"/>
              <w:rPr>
                <w:rFonts w:hint="eastAsia" w:ascii="仿宋" w:hAnsi="仿宋" w:eastAsia="仿宋" w:cs="仿宋"/>
                <w:sz w:val="24"/>
                <w:szCs w:val="24"/>
              </w:rPr>
            </w:pPr>
            <w:r>
              <w:rPr>
                <w:rFonts w:hint="eastAsia" w:ascii="仿宋" w:hAnsi="仿宋" w:eastAsia="仿宋" w:cs="仿宋"/>
                <w:sz w:val="24"/>
                <w:szCs w:val="24"/>
                <w:lang w:eastAsia="zh-CN"/>
              </w:rPr>
              <w:t>乙方</w:t>
            </w:r>
            <w:r>
              <w:rPr>
                <w:rFonts w:hint="eastAsia" w:ascii="仿宋" w:hAnsi="仿宋" w:eastAsia="仿宋" w:cs="仿宋"/>
                <w:sz w:val="24"/>
                <w:szCs w:val="24"/>
              </w:rPr>
              <w:t>提交的货物产品不满足事先约定的质量要求。</w:t>
            </w:r>
          </w:p>
        </w:tc>
        <w:tc>
          <w:tcPr>
            <w:tcW w:w="2141" w:type="dxa"/>
            <w:noWrap w:val="0"/>
            <w:vAlign w:val="top"/>
          </w:tcPr>
          <w:p>
            <w:pPr>
              <w:adjustRightInd w:val="0"/>
              <w:snapToGrid w:val="0"/>
              <w:spacing w:line="240" w:lineRule="auto"/>
              <w:jc w:val="left"/>
              <w:rPr>
                <w:rFonts w:hint="eastAsia" w:ascii="仿宋" w:hAnsi="仿宋" w:eastAsia="仿宋" w:cs="仿宋"/>
                <w:sz w:val="24"/>
                <w:szCs w:val="24"/>
              </w:rPr>
            </w:pPr>
            <w:r>
              <w:rPr>
                <w:rFonts w:hint="eastAsia" w:ascii="仿宋" w:hAnsi="仿宋" w:eastAsia="仿宋" w:cs="仿宋"/>
                <w:sz w:val="24"/>
                <w:szCs w:val="24"/>
              </w:rPr>
              <w:t>由</w:t>
            </w:r>
            <w:r>
              <w:rPr>
                <w:rFonts w:hint="eastAsia" w:ascii="仿宋" w:hAnsi="仿宋" w:eastAsia="仿宋" w:cs="仿宋"/>
                <w:sz w:val="24"/>
                <w:szCs w:val="24"/>
                <w:lang w:eastAsia="zh-CN"/>
              </w:rPr>
              <w:t>甲方</w:t>
            </w:r>
            <w:r>
              <w:rPr>
                <w:rFonts w:hint="eastAsia" w:ascii="仿宋" w:hAnsi="仿宋" w:eastAsia="仿宋" w:cs="仿宋"/>
                <w:sz w:val="24"/>
                <w:szCs w:val="24"/>
              </w:rPr>
              <w:t>项目经理完成产品质量缺陷说明，提交财务部扣款</w:t>
            </w:r>
          </w:p>
        </w:tc>
        <w:tc>
          <w:tcPr>
            <w:tcW w:w="1146" w:type="dxa"/>
            <w:noWrap w:val="0"/>
            <w:vAlign w:val="top"/>
          </w:tcPr>
          <w:p>
            <w:pPr>
              <w:adjustRightInd w:val="0"/>
              <w:snapToGrid w:val="0"/>
              <w:spacing w:line="240" w:lineRule="auto"/>
              <w:jc w:val="left"/>
              <w:rPr>
                <w:rFonts w:hint="eastAsia" w:ascii="仿宋" w:hAnsi="仿宋" w:eastAsia="仿宋" w:cs="仿宋"/>
                <w:sz w:val="24"/>
                <w:szCs w:val="24"/>
              </w:rPr>
            </w:pPr>
            <w:r>
              <w:rPr>
                <w:rFonts w:hint="eastAsia" w:ascii="仿宋" w:hAnsi="仿宋" w:eastAsia="仿宋" w:cs="仿宋"/>
                <w:sz w:val="24"/>
                <w:szCs w:val="24"/>
              </w:rPr>
              <w:t>合同款*</w:t>
            </w:r>
            <w:permStart w:id="17" w:edGrp="everyone"/>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permEnd w:id="17"/>
            <w:r>
              <w:rPr>
                <w:rFonts w:hint="eastAsia" w:ascii="仿宋" w:hAnsi="仿宋" w:eastAsia="仿宋" w:cs="仿宋"/>
                <w:sz w:val="24"/>
                <w:szCs w:val="24"/>
              </w:rPr>
              <w:t>%~</w:t>
            </w:r>
            <w:permStart w:id="18" w:edGrp="everyone"/>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w:t>
            </w:r>
            <w:permEnd w:id="18"/>
            <w:r>
              <w:rPr>
                <w:rFonts w:hint="eastAsia" w:ascii="仿宋" w:hAnsi="仿宋" w:eastAsia="仿宋" w:cs="仿宋"/>
                <w:sz w:val="24"/>
                <w:szCs w:val="24"/>
              </w:rPr>
              <w:t>%</w:t>
            </w:r>
          </w:p>
        </w:tc>
        <w:tc>
          <w:tcPr>
            <w:tcW w:w="1159" w:type="dxa"/>
            <w:noWrap w:val="0"/>
            <w:vAlign w:val="top"/>
          </w:tcPr>
          <w:p>
            <w:pPr>
              <w:adjustRightInd w:val="0"/>
              <w:snapToGrid w:val="0"/>
              <w:spacing w:line="240" w:lineRule="auto"/>
              <w:jc w:val="left"/>
              <w:rPr>
                <w:rFonts w:hint="eastAsia" w:ascii="仿宋" w:hAnsi="仿宋" w:eastAsia="仿宋" w:cs="仿宋"/>
                <w:sz w:val="24"/>
                <w:szCs w:val="24"/>
              </w:rPr>
            </w:pPr>
            <w:r>
              <w:rPr>
                <w:rFonts w:hint="eastAsia" w:ascii="仿宋" w:hAnsi="仿宋" w:eastAsia="仿宋" w:cs="仿宋"/>
                <w:sz w:val="24"/>
                <w:szCs w:val="24"/>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68" w:type="dxa"/>
            <w:noWrap w:val="0"/>
            <w:vAlign w:val="top"/>
          </w:tcPr>
          <w:p>
            <w:pPr>
              <w:adjustRightInd w:val="0"/>
              <w:snapToGrid w:val="0"/>
              <w:spacing w:line="240" w:lineRule="auto"/>
              <w:jc w:val="left"/>
              <w:rPr>
                <w:rFonts w:hint="eastAsia" w:ascii="仿宋" w:hAnsi="仿宋" w:eastAsia="仿宋" w:cs="仿宋"/>
                <w:sz w:val="24"/>
                <w:szCs w:val="24"/>
              </w:rPr>
            </w:pPr>
            <w:r>
              <w:rPr>
                <w:rFonts w:hint="eastAsia" w:ascii="仿宋" w:hAnsi="仿宋" w:eastAsia="仿宋" w:cs="仿宋"/>
                <w:sz w:val="24"/>
                <w:szCs w:val="24"/>
              </w:rPr>
              <w:t>技术支持延迟或售后不合格</w:t>
            </w:r>
          </w:p>
        </w:tc>
        <w:tc>
          <w:tcPr>
            <w:tcW w:w="2546" w:type="dxa"/>
            <w:noWrap w:val="0"/>
            <w:vAlign w:val="top"/>
          </w:tcPr>
          <w:p>
            <w:pPr>
              <w:adjustRightInd w:val="0"/>
              <w:snapToGrid w:val="0"/>
              <w:spacing w:line="240" w:lineRule="auto"/>
              <w:jc w:val="left"/>
              <w:rPr>
                <w:rFonts w:hint="eastAsia" w:ascii="仿宋" w:hAnsi="仿宋" w:eastAsia="仿宋" w:cs="仿宋"/>
                <w:sz w:val="24"/>
                <w:szCs w:val="24"/>
              </w:rPr>
            </w:pPr>
            <w:r>
              <w:rPr>
                <w:rFonts w:hint="eastAsia" w:ascii="仿宋" w:hAnsi="仿宋" w:eastAsia="仿宋" w:cs="仿宋"/>
                <w:sz w:val="24"/>
                <w:szCs w:val="24"/>
                <w:lang w:eastAsia="zh-CN"/>
              </w:rPr>
              <w:t>乙方</w:t>
            </w:r>
            <w:r>
              <w:rPr>
                <w:rFonts w:hint="eastAsia" w:ascii="仿宋" w:hAnsi="仿宋" w:eastAsia="仿宋" w:cs="仿宋"/>
                <w:sz w:val="24"/>
                <w:szCs w:val="24"/>
              </w:rPr>
              <w:t>未在要求的时间内解决</w:t>
            </w:r>
            <w:r>
              <w:rPr>
                <w:rFonts w:hint="eastAsia" w:ascii="仿宋" w:hAnsi="仿宋" w:eastAsia="仿宋" w:cs="仿宋"/>
                <w:sz w:val="24"/>
                <w:szCs w:val="24"/>
                <w:lang w:eastAsia="zh-CN"/>
              </w:rPr>
              <w:t>甲方</w:t>
            </w:r>
            <w:r>
              <w:rPr>
                <w:rFonts w:hint="eastAsia" w:ascii="仿宋" w:hAnsi="仿宋" w:eastAsia="仿宋" w:cs="仿宋"/>
                <w:sz w:val="24"/>
                <w:szCs w:val="24"/>
              </w:rPr>
              <w:t>提出的符合包修或技术支持范围的问题</w:t>
            </w:r>
          </w:p>
        </w:tc>
        <w:tc>
          <w:tcPr>
            <w:tcW w:w="2141" w:type="dxa"/>
            <w:noWrap w:val="0"/>
            <w:vAlign w:val="top"/>
          </w:tcPr>
          <w:p>
            <w:pPr>
              <w:adjustRightInd w:val="0"/>
              <w:snapToGrid w:val="0"/>
              <w:spacing w:line="240" w:lineRule="auto"/>
              <w:jc w:val="left"/>
              <w:rPr>
                <w:rFonts w:hint="eastAsia" w:ascii="仿宋" w:hAnsi="仿宋" w:eastAsia="仿宋" w:cs="仿宋"/>
                <w:sz w:val="24"/>
                <w:szCs w:val="24"/>
              </w:rPr>
            </w:pPr>
            <w:r>
              <w:rPr>
                <w:rFonts w:hint="eastAsia" w:ascii="仿宋" w:hAnsi="仿宋" w:eastAsia="仿宋" w:cs="仿宋"/>
                <w:sz w:val="24"/>
                <w:szCs w:val="24"/>
              </w:rPr>
              <w:t>由</w:t>
            </w:r>
            <w:r>
              <w:rPr>
                <w:rFonts w:hint="eastAsia" w:ascii="仿宋" w:hAnsi="仿宋" w:eastAsia="仿宋" w:cs="仿宋"/>
                <w:sz w:val="24"/>
                <w:szCs w:val="24"/>
                <w:lang w:eastAsia="zh-CN"/>
              </w:rPr>
              <w:t>甲方</w:t>
            </w:r>
            <w:r>
              <w:rPr>
                <w:rFonts w:hint="eastAsia" w:ascii="仿宋" w:hAnsi="仿宋" w:eastAsia="仿宋" w:cs="仿宋"/>
                <w:sz w:val="24"/>
                <w:szCs w:val="24"/>
              </w:rPr>
              <w:t>项目经理完成售后反馈表，提交财务部扣款</w:t>
            </w:r>
          </w:p>
        </w:tc>
        <w:tc>
          <w:tcPr>
            <w:tcW w:w="1146" w:type="dxa"/>
            <w:noWrap w:val="0"/>
            <w:vAlign w:val="top"/>
          </w:tcPr>
          <w:p>
            <w:pPr>
              <w:adjustRightInd w:val="0"/>
              <w:snapToGrid w:val="0"/>
              <w:spacing w:line="240" w:lineRule="auto"/>
              <w:jc w:val="left"/>
              <w:rPr>
                <w:rFonts w:hint="eastAsia" w:ascii="仿宋" w:hAnsi="仿宋" w:eastAsia="仿宋" w:cs="仿宋"/>
                <w:sz w:val="24"/>
                <w:szCs w:val="24"/>
              </w:rPr>
            </w:pPr>
            <w:permStart w:id="19" w:edGrp="everyone"/>
            <w:r>
              <w:rPr>
                <w:rFonts w:hint="eastAsia" w:ascii="仿宋" w:hAnsi="仿宋" w:eastAsia="仿宋" w:cs="仿宋"/>
                <w:sz w:val="24"/>
                <w:szCs w:val="24"/>
              </w:rPr>
              <w:t>【</w:t>
            </w:r>
            <w:r>
              <w:rPr>
                <w:rFonts w:hint="eastAsia" w:ascii="仿宋" w:hAnsi="仿宋" w:eastAsia="仿宋" w:cs="仿宋"/>
                <w:sz w:val="24"/>
                <w:szCs w:val="24"/>
                <w:lang w:val="en-US" w:eastAsia="zh-CN"/>
              </w:rPr>
              <w:t>5000</w:t>
            </w:r>
            <w:r>
              <w:rPr>
                <w:rFonts w:hint="eastAsia" w:ascii="仿宋" w:hAnsi="仿宋" w:eastAsia="仿宋" w:cs="仿宋"/>
                <w:sz w:val="24"/>
                <w:szCs w:val="24"/>
              </w:rPr>
              <w:t>】</w:t>
            </w:r>
            <w:permEnd w:id="19"/>
            <w:r>
              <w:rPr>
                <w:rFonts w:hint="eastAsia" w:ascii="仿宋" w:hAnsi="仿宋" w:eastAsia="仿宋" w:cs="仿宋"/>
                <w:sz w:val="24"/>
                <w:szCs w:val="24"/>
              </w:rPr>
              <w:t>~</w:t>
            </w:r>
            <w:permStart w:id="20" w:edGrp="everyone"/>
            <w:r>
              <w:rPr>
                <w:rFonts w:hint="eastAsia" w:ascii="仿宋" w:hAnsi="仿宋" w:eastAsia="仿宋" w:cs="仿宋"/>
                <w:sz w:val="24"/>
                <w:szCs w:val="24"/>
              </w:rPr>
              <w:t>【</w:t>
            </w:r>
            <w:r>
              <w:rPr>
                <w:rFonts w:hint="eastAsia" w:ascii="仿宋" w:hAnsi="仿宋" w:eastAsia="仿宋" w:cs="仿宋"/>
                <w:sz w:val="24"/>
                <w:szCs w:val="24"/>
                <w:lang w:val="en-US" w:eastAsia="zh-CN"/>
              </w:rPr>
              <w:t>50000</w:t>
            </w:r>
            <w:r>
              <w:rPr>
                <w:rFonts w:hint="eastAsia" w:ascii="仿宋" w:hAnsi="仿宋" w:eastAsia="仿宋" w:cs="仿宋"/>
                <w:sz w:val="24"/>
                <w:szCs w:val="24"/>
              </w:rPr>
              <w:t>】</w:t>
            </w:r>
            <w:permEnd w:id="20"/>
            <w:r>
              <w:rPr>
                <w:rFonts w:hint="eastAsia" w:ascii="仿宋" w:hAnsi="仿宋" w:eastAsia="仿宋" w:cs="仿宋"/>
                <w:sz w:val="24"/>
                <w:szCs w:val="24"/>
              </w:rPr>
              <w:t>元</w:t>
            </w:r>
          </w:p>
        </w:tc>
        <w:tc>
          <w:tcPr>
            <w:tcW w:w="1159" w:type="dxa"/>
            <w:noWrap w:val="0"/>
            <w:vAlign w:val="top"/>
          </w:tcPr>
          <w:p>
            <w:pPr>
              <w:adjustRightInd w:val="0"/>
              <w:snapToGrid w:val="0"/>
              <w:spacing w:line="240" w:lineRule="auto"/>
              <w:jc w:val="left"/>
              <w:rPr>
                <w:rFonts w:hint="eastAsia" w:ascii="仿宋" w:hAnsi="仿宋" w:eastAsia="仿宋" w:cs="仿宋"/>
                <w:sz w:val="24"/>
                <w:szCs w:val="24"/>
              </w:rPr>
            </w:pPr>
            <w:r>
              <w:rPr>
                <w:rFonts w:hint="eastAsia" w:ascii="仿宋" w:hAnsi="仿宋" w:eastAsia="仿宋" w:cs="仿宋"/>
                <w:sz w:val="24"/>
                <w:szCs w:val="24"/>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68" w:type="dxa"/>
            <w:noWrap w:val="0"/>
            <w:vAlign w:val="top"/>
          </w:tcPr>
          <w:p>
            <w:pPr>
              <w:adjustRightInd w:val="0"/>
              <w:snapToGrid w:val="0"/>
              <w:spacing w:line="240" w:lineRule="auto"/>
              <w:jc w:val="left"/>
              <w:rPr>
                <w:rFonts w:hint="eastAsia" w:ascii="仿宋" w:hAnsi="仿宋" w:eastAsia="仿宋" w:cs="仿宋"/>
                <w:sz w:val="24"/>
                <w:szCs w:val="24"/>
              </w:rPr>
            </w:pPr>
            <w:r>
              <w:rPr>
                <w:rFonts w:hint="eastAsia" w:ascii="仿宋" w:hAnsi="仿宋" w:eastAsia="仿宋" w:cs="仿宋"/>
                <w:sz w:val="24"/>
                <w:szCs w:val="24"/>
              </w:rPr>
              <w:t>文档缺失或质量不合格</w:t>
            </w:r>
          </w:p>
        </w:tc>
        <w:tc>
          <w:tcPr>
            <w:tcW w:w="2546" w:type="dxa"/>
            <w:noWrap w:val="0"/>
            <w:vAlign w:val="top"/>
          </w:tcPr>
          <w:p>
            <w:pPr>
              <w:adjustRightInd w:val="0"/>
              <w:snapToGrid w:val="0"/>
              <w:spacing w:line="240" w:lineRule="auto"/>
              <w:jc w:val="left"/>
              <w:rPr>
                <w:rFonts w:hint="eastAsia" w:ascii="仿宋" w:hAnsi="仿宋" w:eastAsia="仿宋" w:cs="仿宋"/>
                <w:sz w:val="24"/>
                <w:szCs w:val="24"/>
              </w:rPr>
            </w:pPr>
            <w:r>
              <w:rPr>
                <w:rFonts w:hint="eastAsia" w:ascii="仿宋" w:hAnsi="仿宋" w:eastAsia="仿宋" w:cs="仿宋"/>
                <w:sz w:val="24"/>
                <w:szCs w:val="24"/>
                <w:lang w:eastAsia="zh-CN"/>
              </w:rPr>
              <w:t>乙方</w:t>
            </w:r>
            <w:r>
              <w:rPr>
                <w:rFonts w:hint="eastAsia" w:ascii="仿宋" w:hAnsi="仿宋" w:eastAsia="仿宋" w:cs="仿宋"/>
                <w:sz w:val="24"/>
                <w:szCs w:val="24"/>
              </w:rPr>
              <w:t>未提供或提供缺失的技术规范、培训材料等质量不合格文档</w:t>
            </w:r>
          </w:p>
        </w:tc>
        <w:tc>
          <w:tcPr>
            <w:tcW w:w="2141" w:type="dxa"/>
            <w:noWrap w:val="0"/>
            <w:vAlign w:val="top"/>
          </w:tcPr>
          <w:p>
            <w:pPr>
              <w:adjustRightInd w:val="0"/>
              <w:snapToGrid w:val="0"/>
              <w:spacing w:line="240" w:lineRule="auto"/>
              <w:jc w:val="left"/>
              <w:rPr>
                <w:rFonts w:hint="eastAsia" w:ascii="仿宋" w:hAnsi="仿宋" w:eastAsia="仿宋" w:cs="仿宋"/>
                <w:sz w:val="24"/>
                <w:szCs w:val="24"/>
              </w:rPr>
            </w:pPr>
            <w:r>
              <w:rPr>
                <w:rFonts w:hint="eastAsia" w:ascii="仿宋" w:hAnsi="仿宋" w:eastAsia="仿宋" w:cs="仿宋"/>
                <w:sz w:val="24"/>
                <w:szCs w:val="24"/>
              </w:rPr>
              <w:t>由</w:t>
            </w:r>
            <w:r>
              <w:rPr>
                <w:rFonts w:hint="eastAsia" w:ascii="仿宋" w:hAnsi="仿宋" w:eastAsia="仿宋" w:cs="仿宋"/>
                <w:sz w:val="24"/>
                <w:szCs w:val="24"/>
                <w:lang w:eastAsia="zh-CN"/>
              </w:rPr>
              <w:t>甲方</w:t>
            </w:r>
            <w:r>
              <w:rPr>
                <w:rFonts w:hint="eastAsia" w:ascii="仿宋" w:hAnsi="仿宋" w:eastAsia="仿宋" w:cs="仿宋"/>
                <w:sz w:val="24"/>
                <w:szCs w:val="24"/>
              </w:rPr>
              <w:t>项目经理确认文档条目，提交财务部扣款</w:t>
            </w:r>
          </w:p>
        </w:tc>
        <w:tc>
          <w:tcPr>
            <w:tcW w:w="1146" w:type="dxa"/>
            <w:noWrap w:val="0"/>
            <w:vAlign w:val="top"/>
          </w:tcPr>
          <w:p>
            <w:pPr>
              <w:adjustRightInd w:val="0"/>
              <w:snapToGrid w:val="0"/>
              <w:spacing w:line="240" w:lineRule="auto"/>
              <w:jc w:val="left"/>
              <w:rPr>
                <w:rFonts w:hint="eastAsia" w:ascii="仿宋" w:hAnsi="仿宋" w:eastAsia="仿宋" w:cs="仿宋"/>
                <w:sz w:val="24"/>
                <w:szCs w:val="24"/>
              </w:rPr>
            </w:pPr>
            <w:permStart w:id="21" w:edGrp="everyone"/>
            <w:r>
              <w:rPr>
                <w:rFonts w:hint="eastAsia" w:ascii="仿宋" w:hAnsi="仿宋" w:eastAsia="仿宋" w:cs="仿宋"/>
                <w:sz w:val="24"/>
                <w:szCs w:val="24"/>
              </w:rPr>
              <w:t>【</w:t>
            </w:r>
            <w:r>
              <w:rPr>
                <w:rFonts w:hint="eastAsia" w:ascii="仿宋" w:hAnsi="仿宋" w:eastAsia="仿宋" w:cs="仿宋"/>
                <w:sz w:val="24"/>
                <w:szCs w:val="24"/>
                <w:lang w:val="en-US" w:eastAsia="zh-CN"/>
              </w:rPr>
              <w:t>1000</w:t>
            </w:r>
            <w:r>
              <w:rPr>
                <w:rFonts w:hint="eastAsia" w:ascii="仿宋" w:hAnsi="仿宋" w:eastAsia="仿宋" w:cs="仿宋"/>
                <w:sz w:val="24"/>
                <w:szCs w:val="24"/>
              </w:rPr>
              <w:t>】</w:t>
            </w:r>
            <w:permEnd w:id="21"/>
            <w:r>
              <w:rPr>
                <w:rFonts w:hint="eastAsia" w:ascii="仿宋" w:hAnsi="仿宋" w:eastAsia="仿宋" w:cs="仿宋"/>
                <w:sz w:val="24"/>
                <w:szCs w:val="24"/>
              </w:rPr>
              <w:t>~</w:t>
            </w:r>
            <w:permStart w:id="22" w:edGrp="everyone"/>
            <w:r>
              <w:rPr>
                <w:rFonts w:hint="eastAsia" w:ascii="仿宋" w:hAnsi="仿宋" w:eastAsia="仿宋" w:cs="仿宋"/>
                <w:sz w:val="24"/>
                <w:szCs w:val="24"/>
              </w:rPr>
              <w:t>【</w:t>
            </w:r>
            <w:r>
              <w:rPr>
                <w:rFonts w:hint="eastAsia" w:ascii="仿宋" w:hAnsi="仿宋" w:eastAsia="仿宋" w:cs="仿宋"/>
                <w:sz w:val="24"/>
                <w:szCs w:val="24"/>
                <w:lang w:val="en-US" w:eastAsia="zh-CN"/>
              </w:rPr>
              <w:t>50000</w:t>
            </w:r>
            <w:r>
              <w:rPr>
                <w:rFonts w:hint="eastAsia" w:ascii="仿宋" w:hAnsi="仿宋" w:eastAsia="仿宋" w:cs="仿宋"/>
                <w:sz w:val="24"/>
                <w:szCs w:val="24"/>
              </w:rPr>
              <w:t>】</w:t>
            </w:r>
            <w:permEnd w:id="22"/>
            <w:r>
              <w:rPr>
                <w:rFonts w:hint="eastAsia" w:ascii="仿宋" w:hAnsi="仿宋" w:eastAsia="仿宋" w:cs="仿宋"/>
                <w:sz w:val="24"/>
                <w:szCs w:val="24"/>
              </w:rPr>
              <w:t>元</w:t>
            </w:r>
          </w:p>
        </w:tc>
        <w:tc>
          <w:tcPr>
            <w:tcW w:w="1159" w:type="dxa"/>
            <w:noWrap w:val="0"/>
            <w:vAlign w:val="top"/>
          </w:tcPr>
          <w:p>
            <w:pPr>
              <w:adjustRightInd w:val="0"/>
              <w:snapToGrid w:val="0"/>
              <w:spacing w:line="240" w:lineRule="auto"/>
              <w:jc w:val="left"/>
              <w:rPr>
                <w:rFonts w:hint="eastAsia" w:ascii="仿宋" w:hAnsi="仿宋" w:eastAsia="仿宋" w:cs="仿宋"/>
                <w:sz w:val="24"/>
                <w:szCs w:val="24"/>
              </w:rPr>
            </w:pPr>
            <w:r>
              <w:rPr>
                <w:rFonts w:hint="eastAsia" w:ascii="仿宋" w:hAnsi="仿宋" w:eastAsia="仿宋" w:cs="仿宋"/>
                <w:sz w:val="24"/>
                <w:szCs w:val="24"/>
              </w:rPr>
              <w:t>视文档重要性</w:t>
            </w:r>
          </w:p>
        </w:tc>
      </w:tr>
    </w:tbl>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第四条 产品的质量要求</w:t>
      </w:r>
    </w:p>
    <w:p>
      <w:pPr>
        <w:keepNext w:val="0"/>
        <w:keepLines w:val="0"/>
        <w:pageBreakBefore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4.1</w:t>
      </w:r>
      <w:r>
        <w:rPr>
          <w:rFonts w:hint="eastAsia" w:ascii="仿宋" w:hAnsi="仿宋" w:eastAsia="仿宋" w:cs="仿宋"/>
          <w:sz w:val="24"/>
          <w:szCs w:val="24"/>
          <w:lang w:eastAsia="zh-CN"/>
        </w:rPr>
        <w:t>乙方</w:t>
      </w:r>
      <w:r>
        <w:rPr>
          <w:rFonts w:hint="eastAsia" w:ascii="仿宋" w:hAnsi="仿宋" w:eastAsia="仿宋" w:cs="仿宋"/>
          <w:sz w:val="24"/>
          <w:szCs w:val="24"/>
        </w:rPr>
        <w:t>所提供产品的技术指标和生产工艺必须完全满足</w:t>
      </w:r>
      <w:r>
        <w:rPr>
          <w:rFonts w:hint="eastAsia" w:ascii="仿宋" w:hAnsi="仿宋" w:eastAsia="仿宋" w:cs="仿宋"/>
          <w:sz w:val="24"/>
          <w:szCs w:val="24"/>
          <w:lang w:eastAsia="zh-CN"/>
        </w:rPr>
        <w:t>甲方</w:t>
      </w:r>
      <w:r>
        <w:rPr>
          <w:rFonts w:hint="eastAsia" w:ascii="仿宋" w:hAnsi="仿宋" w:eastAsia="仿宋" w:cs="仿宋"/>
          <w:sz w:val="24"/>
          <w:szCs w:val="24"/>
        </w:rPr>
        <w:t>在“</w:t>
      </w:r>
      <w:permStart w:id="23" w:edGrp="everyone"/>
      <w:r>
        <w:rPr>
          <w:rFonts w:hint="eastAsia" w:ascii="仿宋" w:hAnsi="仿宋" w:eastAsia="仿宋" w:cs="仿宋"/>
          <w:kern w:val="0"/>
          <w:sz w:val="24"/>
          <w:szCs w:val="22"/>
        </w:rPr>
        <w:t>堡垒机设备</w:t>
      </w:r>
      <w:permEnd w:id="23"/>
      <w:r>
        <w:rPr>
          <w:rFonts w:hint="eastAsia" w:ascii="仿宋" w:hAnsi="仿宋" w:eastAsia="仿宋" w:cs="仿宋"/>
          <w:color w:val="000000"/>
          <w:sz w:val="24"/>
          <w:szCs w:val="24"/>
        </w:rPr>
        <w:t>”采购文件中提出的技术要求，</w:t>
      </w:r>
      <w:r>
        <w:rPr>
          <w:rFonts w:hint="eastAsia" w:ascii="仿宋" w:hAnsi="仿宋" w:eastAsia="仿宋" w:cs="仿宋"/>
          <w:color w:val="000000"/>
          <w:sz w:val="24"/>
          <w:szCs w:val="24"/>
          <w:lang w:eastAsia="zh-CN"/>
        </w:rPr>
        <w:t>乙方</w:t>
      </w:r>
      <w:r>
        <w:rPr>
          <w:rFonts w:hint="eastAsia" w:ascii="仿宋" w:hAnsi="仿宋" w:eastAsia="仿宋" w:cs="仿宋"/>
          <w:color w:val="000000"/>
          <w:sz w:val="24"/>
          <w:szCs w:val="24"/>
        </w:rPr>
        <w:t>所提供产品的功能与服务实现必须完全遵守应答文件和谈判中做出的书面承诺；</w:t>
      </w:r>
      <w:r>
        <w:rPr>
          <w:rFonts w:hint="eastAsia" w:ascii="仿宋" w:hAnsi="仿宋" w:eastAsia="仿宋" w:cs="仿宋"/>
          <w:color w:val="000000"/>
          <w:sz w:val="24"/>
          <w:szCs w:val="24"/>
          <w:lang w:eastAsia="zh-CN"/>
        </w:rPr>
        <w:t>乙方</w:t>
      </w:r>
      <w:r>
        <w:rPr>
          <w:rFonts w:hint="eastAsia" w:ascii="仿宋" w:hAnsi="仿宋" w:eastAsia="仿宋" w:cs="仿宋"/>
          <w:color w:val="000000"/>
          <w:sz w:val="24"/>
          <w:szCs w:val="24"/>
        </w:rPr>
        <w:t>保证所提供的商品是原厂原装产品，提供原厂或</w:t>
      </w:r>
      <w:r>
        <w:rPr>
          <w:rFonts w:hint="eastAsia" w:ascii="仿宋" w:hAnsi="仿宋" w:eastAsia="仿宋" w:cs="仿宋"/>
          <w:sz w:val="24"/>
          <w:szCs w:val="24"/>
        </w:rPr>
        <w:t>原产地证明，且系崭新的、未使用过的产品，没有任何版权或其他权属争议；</w:t>
      </w:r>
      <w:r>
        <w:rPr>
          <w:rFonts w:hint="eastAsia" w:ascii="仿宋" w:hAnsi="仿宋" w:eastAsia="仿宋" w:cs="仿宋"/>
          <w:sz w:val="24"/>
          <w:szCs w:val="24"/>
          <w:lang w:eastAsia="zh-CN"/>
        </w:rPr>
        <w:t>乙方</w:t>
      </w:r>
      <w:r>
        <w:rPr>
          <w:rFonts w:hint="eastAsia" w:ascii="仿宋" w:hAnsi="仿宋" w:eastAsia="仿宋" w:cs="仿宋"/>
          <w:sz w:val="24"/>
          <w:szCs w:val="24"/>
        </w:rPr>
        <w:t>须提供产品的出厂检测报告和产品质量合格证明书，且符合相应技术规定的品质和规格要求；若产品技术性能无相应说明，则按国家或国际有关部门最新颁布的标准及规范为准。</w:t>
      </w:r>
      <w:r>
        <w:rPr>
          <w:rFonts w:hint="eastAsia" w:ascii="仿宋" w:hAnsi="仿宋" w:eastAsia="仿宋" w:cs="仿宋"/>
          <w:sz w:val="24"/>
          <w:szCs w:val="24"/>
          <w:lang w:eastAsia="zh-CN"/>
        </w:rPr>
        <w:t>乙方</w:t>
      </w:r>
      <w:r>
        <w:rPr>
          <w:rFonts w:hint="eastAsia" w:ascii="仿宋" w:hAnsi="仿宋" w:eastAsia="仿宋" w:cs="仿宋"/>
          <w:sz w:val="24"/>
          <w:szCs w:val="24"/>
        </w:rPr>
        <w:t>保证提供的所有产品是现阶段主流产品，没有停产的计划。</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第五条 产品的包装</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5.1</w:t>
      </w:r>
      <w:r>
        <w:rPr>
          <w:rFonts w:hint="eastAsia" w:ascii="仿宋" w:hAnsi="仿宋" w:eastAsia="仿宋" w:cs="仿宋"/>
          <w:sz w:val="24"/>
          <w:szCs w:val="24"/>
        </w:rPr>
        <w:t>所有产品由</w:t>
      </w:r>
      <w:r>
        <w:rPr>
          <w:rFonts w:hint="eastAsia" w:ascii="仿宋" w:hAnsi="仿宋" w:eastAsia="仿宋" w:cs="仿宋"/>
          <w:sz w:val="24"/>
          <w:szCs w:val="24"/>
          <w:lang w:eastAsia="zh-CN"/>
        </w:rPr>
        <w:t>乙方</w:t>
      </w:r>
      <w:r>
        <w:rPr>
          <w:rFonts w:hint="eastAsia" w:ascii="仿宋" w:hAnsi="仿宋" w:eastAsia="仿宋" w:cs="仿宋"/>
          <w:sz w:val="24"/>
          <w:szCs w:val="24"/>
        </w:rPr>
        <w:t>负责妥善包装，附件、清单完整齐全，注明储运标志，并适合于长途运输。由此不当而引起的所有损失和责任由</w:t>
      </w:r>
      <w:r>
        <w:rPr>
          <w:rFonts w:hint="eastAsia" w:ascii="仿宋" w:hAnsi="仿宋" w:eastAsia="仿宋" w:cs="仿宋"/>
          <w:sz w:val="24"/>
          <w:szCs w:val="24"/>
          <w:lang w:eastAsia="zh-CN"/>
        </w:rPr>
        <w:t>乙方</w:t>
      </w:r>
      <w:r>
        <w:rPr>
          <w:rFonts w:hint="eastAsia" w:ascii="仿宋" w:hAnsi="仿宋" w:eastAsia="仿宋" w:cs="仿宋"/>
          <w:sz w:val="24"/>
          <w:szCs w:val="24"/>
        </w:rPr>
        <w:t>承担。</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5.2</w:t>
      </w:r>
      <w:r>
        <w:rPr>
          <w:rFonts w:hint="eastAsia" w:ascii="仿宋" w:hAnsi="仿宋" w:eastAsia="仿宋" w:cs="仿宋"/>
          <w:sz w:val="24"/>
          <w:szCs w:val="24"/>
          <w:lang w:eastAsia="zh-CN"/>
        </w:rPr>
        <w:t>乙方</w:t>
      </w:r>
      <w:r>
        <w:rPr>
          <w:rFonts w:hint="eastAsia" w:ascii="仿宋" w:hAnsi="仿宋" w:eastAsia="仿宋" w:cs="仿宋"/>
          <w:sz w:val="24"/>
          <w:szCs w:val="24"/>
        </w:rPr>
        <w:t>应在每一包装箱相邻的四个侧面以不可擦除的、明显的方式标记必要的装运信息和标记，以满足合同设备运输和保管的需要。这些记号或标志应在运单上说明。</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5.3</w:t>
      </w:r>
      <w:r>
        <w:rPr>
          <w:rFonts w:hint="eastAsia" w:ascii="仿宋" w:hAnsi="仿宋" w:eastAsia="仿宋" w:cs="仿宋"/>
          <w:sz w:val="24"/>
          <w:szCs w:val="24"/>
          <w:lang w:eastAsia="zh-CN"/>
        </w:rPr>
        <w:t>乙方</w:t>
      </w:r>
      <w:r>
        <w:rPr>
          <w:rFonts w:hint="eastAsia" w:ascii="仿宋" w:hAnsi="仿宋" w:eastAsia="仿宋" w:cs="仿宋"/>
          <w:sz w:val="24"/>
          <w:szCs w:val="24"/>
        </w:rPr>
        <w:t>应根据货物特点进行坚固包装使其防水、防潮、防腐、防锈、防震等，并在正常情况下适于水运、空运和长途内陆运输及反复装卸和搬运的要求。专用、特殊安装工具材料和易磨损部件应进行适当的包装并采取特别保护措施。</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5.4</w:t>
      </w:r>
      <w:r>
        <w:rPr>
          <w:rFonts w:hint="eastAsia" w:ascii="仿宋" w:hAnsi="仿宋" w:eastAsia="仿宋" w:cs="仿宋"/>
          <w:sz w:val="24"/>
          <w:szCs w:val="24"/>
          <w:lang w:eastAsia="zh-CN"/>
        </w:rPr>
        <w:t>乙方</w:t>
      </w:r>
      <w:r>
        <w:rPr>
          <w:rFonts w:hint="eastAsia" w:ascii="仿宋" w:hAnsi="仿宋" w:eastAsia="仿宋" w:cs="仿宋"/>
          <w:sz w:val="24"/>
          <w:szCs w:val="24"/>
        </w:rPr>
        <w:t>应根据货物的特点及其对装卸操作的要求在包装箱显著位置以英文或中文标明“保持干燥”，“小心轻放”，“此面向上”等国际惯用图示。”等等。</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5</w:t>
      </w:r>
      <w:r>
        <w:rPr>
          <w:rFonts w:hint="eastAsia" w:ascii="仿宋" w:hAnsi="仿宋" w:eastAsia="仿宋" w:cs="仿宋"/>
          <w:sz w:val="24"/>
          <w:szCs w:val="24"/>
        </w:rPr>
        <w:t>备品备件及专用工具应在箱内运送并与产品分别包装，这些包装应适合储存，在它们的整个储存年限内不会损坏，储存年限应在包装上说明，所有备品备件应加上标签，以示区别。</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第六条 运输</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6.1</w:t>
      </w:r>
      <w:r>
        <w:rPr>
          <w:rFonts w:hint="eastAsia" w:ascii="仿宋" w:hAnsi="仿宋" w:eastAsia="仿宋" w:cs="仿宋"/>
          <w:sz w:val="24"/>
          <w:szCs w:val="24"/>
          <w:lang w:eastAsia="zh-CN"/>
        </w:rPr>
        <w:t>乙方</w:t>
      </w:r>
      <w:r>
        <w:rPr>
          <w:rFonts w:hint="eastAsia" w:ascii="仿宋" w:hAnsi="仿宋" w:eastAsia="仿宋" w:cs="仿宋"/>
          <w:sz w:val="24"/>
          <w:szCs w:val="24"/>
        </w:rPr>
        <w:t>应自行选择适宜的运输工具及线路安排合同设备运输。</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6.2</w:t>
      </w:r>
      <w:r>
        <w:rPr>
          <w:rFonts w:hint="eastAsia" w:ascii="仿宋" w:hAnsi="仿宋" w:eastAsia="仿宋" w:cs="仿宋"/>
          <w:sz w:val="24"/>
          <w:szCs w:val="24"/>
        </w:rPr>
        <w:t>除双方另有约定外，每件能够独立运行的设备应整套装运。该设备安装、调试、验收和运行所使用的备品、备件、易损易耗件等应随相关的主机一齐装运。</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6.3</w:t>
      </w:r>
      <w:r>
        <w:rPr>
          <w:rFonts w:hint="eastAsia" w:ascii="仿宋" w:hAnsi="仿宋" w:eastAsia="仿宋" w:cs="仿宋"/>
          <w:sz w:val="24"/>
          <w:szCs w:val="24"/>
        </w:rPr>
        <w:t>除双方另有约定外，</w:t>
      </w:r>
      <w:r>
        <w:rPr>
          <w:rFonts w:hint="eastAsia" w:ascii="仿宋" w:hAnsi="仿宋" w:eastAsia="仿宋" w:cs="仿宋"/>
          <w:sz w:val="24"/>
          <w:szCs w:val="24"/>
          <w:lang w:eastAsia="zh-CN"/>
        </w:rPr>
        <w:t>乙方</w:t>
      </w:r>
      <w:r>
        <w:rPr>
          <w:rFonts w:hint="eastAsia" w:ascii="仿宋" w:hAnsi="仿宋" w:eastAsia="仿宋" w:cs="仿宋"/>
          <w:sz w:val="24"/>
          <w:szCs w:val="24"/>
        </w:rPr>
        <w:t>应在合同设备预计启运</w:t>
      </w:r>
      <w:permStart w:id="24" w:edGrp="everyone"/>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permEnd w:id="24"/>
      <w:r>
        <w:rPr>
          <w:rFonts w:hint="eastAsia" w:ascii="仿宋" w:hAnsi="仿宋" w:eastAsia="仿宋" w:cs="仿宋"/>
          <w:sz w:val="24"/>
          <w:szCs w:val="24"/>
        </w:rPr>
        <w:t>日前，将合同设备名称、数量、箱数、总毛重、总体积（用m3表示）、每箱尺寸（长×宽×高）、装运合同设备总金额、运输方式、预计交付日期和合同设备在运输、装卸、保管中的注意事项等预通知</w:t>
      </w:r>
      <w:r>
        <w:rPr>
          <w:rFonts w:hint="eastAsia" w:ascii="仿宋" w:hAnsi="仿宋" w:eastAsia="仿宋" w:cs="仿宋"/>
          <w:sz w:val="24"/>
          <w:szCs w:val="24"/>
          <w:lang w:eastAsia="zh-CN"/>
        </w:rPr>
        <w:t>甲方</w:t>
      </w:r>
      <w:r>
        <w:rPr>
          <w:rFonts w:hint="eastAsia" w:ascii="仿宋" w:hAnsi="仿宋" w:eastAsia="仿宋" w:cs="仿宋"/>
          <w:sz w:val="24"/>
          <w:szCs w:val="24"/>
        </w:rPr>
        <w:t>，并在合同设备启运后</w:t>
      </w:r>
      <w:permStart w:id="25" w:edGrp="everyone"/>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w:t>
      </w:r>
      <w:permEnd w:id="25"/>
      <w:r>
        <w:rPr>
          <w:rFonts w:hint="eastAsia" w:ascii="仿宋" w:hAnsi="仿宋" w:eastAsia="仿宋" w:cs="仿宋"/>
          <w:sz w:val="24"/>
          <w:szCs w:val="24"/>
        </w:rPr>
        <w:t>小时之内正式通知</w:t>
      </w:r>
      <w:r>
        <w:rPr>
          <w:rFonts w:hint="eastAsia" w:ascii="仿宋" w:hAnsi="仿宋" w:eastAsia="仿宋" w:cs="仿宋"/>
          <w:sz w:val="24"/>
          <w:szCs w:val="24"/>
          <w:lang w:eastAsia="zh-CN"/>
        </w:rPr>
        <w:t>甲方</w:t>
      </w:r>
      <w:r>
        <w:rPr>
          <w:rFonts w:hint="eastAsia" w:ascii="仿宋" w:hAnsi="仿宋" w:eastAsia="仿宋" w:cs="仿宋"/>
          <w:sz w:val="24"/>
          <w:szCs w:val="24"/>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6.4</w:t>
      </w:r>
      <w:r>
        <w:rPr>
          <w:rFonts w:hint="eastAsia" w:ascii="仿宋" w:hAnsi="仿宋" w:eastAsia="仿宋" w:cs="仿宋"/>
          <w:sz w:val="24"/>
          <w:szCs w:val="24"/>
          <w:lang w:eastAsia="zh-CN"/>
        </w:rPr>
        <w:t>乙方</w:t>
      </w:r>
      <w:r>
        <w:rPr>
          <w:rFonts w:hint="eastAsia" w:ascii="仿宋" w:hAnsi="仿宋" w:eastAsia="仿宋" w:cs="仿宋"/>
          <w:sz w:val="24"/>
          <w:szCs w:val="24"/>
        </w:rPr>
        <w:t>在根据第六条第3款项进行通知时，如果发运合同设备中包括超大超重包装，则</w:t>
      </w:r>
      <w:r>
        <w:rPr>
          <w:rFonts w:hint="eastAsia" w:ascii="仿宋" w:hAnsi="仿宋" w:eastAsia="仿宋" w:cs="仿宋"/>
          <w:sz w:val="24"/>
          <w:szCs w:val="24"/>
          <w:lang w:eastAsia="zh-CN"/>
        </w:rPr>
        <w:t>乙方</w:t>
      </w:r>
      <w:r>
        <w:rPr>
          <w:rFonts w:hint="eastAsia" w:ascii="仿宋" w:hAnsi="仿宋" w:eastAsia="仿宋" w:cs="仿宋"/>
          <w:sz w:val="24"/>
          <w:szCs w:val="24"/>
        </w:rPr>
        <w:t>应将超大和（或）超重的每个包装箱的重量和尺寸通知</w:t>
      </w:r>
      <w:r>
        <w:rPr>
          <w:rFonts w:hint="eastAsia" w:ascii="仿宋" w:hAnsi="仿宋" w:eastAsia="仿宋" w:cs="仿宋"/>
          <w:sz w:val="24"/>
          <w:szCs w:val="24"/>
          <w:lang w:eastAsia="zh-CN"/>
        </w:rPr>
        <w:t>甲方</w:t>
      </w:r>
      <w:r>
        <w:rPr>
          <w:rFonts w:hint="eastAsia" w:ascii="仿宋" w:hAnsi="仿宋" w:eastAsia="仿宋" w:cs="仿宋"/>
          <w:sz w:val="24"/>
          <w:szCs w:val="24"/>
        </w:rPr>
        <w:t>；如果发运合同设备中包括易燃易爆物品、腐蚀物品、放射性物质等危险品，则危险品的品名、性质、在运输、装卸、保管方面的特殊要求、注意事项和处理意外情况的方法等，也应一并通知</w:t>
      </w:r>
      <w:r>
        <w:rPr>
          <w:rFonts w:hint="eastAsia" w:ascii="仿宋" w:hAnsi="仿宋" w:eastAsia="仿宋" w:cs="仿宋"/>
          <w:sz w:val="24"/>
          <w:szCs w:val="24"/>
          <w:lang w:eastAsia="zh-CN"/>
        </w:rPr>
        <w:t>甲方</w:t>
      </w:r>
      <w:r>
        <w:rPr>
          <w:rFonts w:hint="eastAsia" w:ascii="仿宋" w:hAnsi="仿宋" w:eastAsia="仿宋" w:cs="仿宋"/>
          <w:sz w:val="24"/>
          <w:szCs w:val="24"/>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6.5</w:t>
      </w:r>
      <w:r>
        <w:rPr>
          <w:rFonts w:hint="eastAsia" w:ascii="仿宋" w:hAnsi="仿宋" w:eastAsia="仿宋" w:cs="仿宋"/>
          <w:sz w:val="24"/>
          <w:szCs w:val="24"/>
        </w:rPr>
        <w:t>运输费用：</w:t>
      </w:r>
      <w:r>
        <w:rPr>
          <w:rFonts w:hint="eastAsia" w:ascii="仿宋" w:hAnsi="仿宋" w:eastAsia="仿宋" w:cs="仿宋"/>
          <w:sz w:val="24"/>
          <w:szCs w:val="24"/>
          <w:lang w:eastAsia="zh-CN"/>
        </w:rPr>
        <w:t>乙方</w:t>
      </w:r>
      <w:r>
        <w:rPr>
          <w:rFonts w:hint="eastAsia" w:ascii="仿宋" w:hAnsi="仿宋" w:eastAsia="仿宋" w:cs="仿宋"/>
          <w:sz w:val="24"/>
          <w:szCs w:val="24"/>
        </w:rPr>
        <w:t>承担所有产品的运输、装卸和保险等费用。</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第七条 产品交付</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w:t>
      </w:r>
      <w:r>
        <w:rPr>
          <w:rFonts w:hint="eastAsia" w:ascii="仿宋" w:hAnsi="仿宋" w:eastAsia="仿宋" w:cs="仿宋"/>
          <w:sz w:val="24"/>
          <w:szCs w:val="24"/>
        </w:rPr>
        <w:t>产品的交货地点为</w:t>
      </w:r>
      <w:r>
        <w:rPr>
          <w:rFonts w:hint="eastAsia" w:ascii="仿宋" w:hAnsi="仿宋" w:eastAsia="仿宋" w:cs="仿宋"/>
          <w:sz w:val="24"/>
          <w:szCs w:val="24"/>
          <w:lang w:eastAsia="zh-CN"/>
        </w:rPr>
        <w:t>甲方</w:t>
      </w:r>
      <w:r>
        <w:rPr>
          <w:rFonts w:hint="eastAsia" w:ascii="仿宋" w:hAnsi="仿宋" w:eastAsia="仿宋" w:cs="仿宋"/>
          <w:sz w:val="24"/>
          <w:szCs w:val="24"/>
        </w:rPr>
        <w:t>指定地点、指定楼层。</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7.2</w:t>
      </w:r>
      <w:r>
        <w:rPr>
          <w:rFonts w:hint="eastAsia" w:ascii="仿宋" w:hAnsi="仿宋" w:eastAsia="仿宋" w:cs="仿宋"/>
          <w:sz w:val="24"/>
          <w:szCs w:val="24"/>
          <w:lang w:eastAsia="zh-CN"/>
        </w:rPr>
        <w:t>乙方</w:t>
      </w:r>
      <w:r>
        <w:rPr>
          <w:rFonts w:hint="eastAsia" w:ascii="仿宋" w:hAnsi="仿宋" w:eastAsia="仿宋" w:cs="仿宋"/>
          <w:sz w:val="24"/>
          <w:szCs w:val="24"/>
        </w:rPr>
        <w:t>交货时应提供下列技术资料：</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（1）产品原厂或原产地证明；</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（2）产品出厂检验报告和产品合格证；</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（3）招标文件中所要求提交的资料。</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7.3</w:t>
      </w:r>
      <w:r>
        <w:rPr>
          <w:rFonts w:hint="eastAsia" w:ascii="仿宋" w:hAnsi="仿宋" w:eastAsia="仿宋" w:cs="仿宋"/>
          <w:sz w:val="24"/>
          <w:szCs w:val="24"/>
        </w:rPr>
        <w:t>设备到货后，</w:t>
      </w:r>
      <w:r>
        <w:rPr>
          <w:rFonts w:hint="eastAsia" w:ascii="仿宋" w:hAnsi="仿宋" w:eastAsia="仿宋" w:cs="仿宋"/>
          <w:sz w:val="24"/>
          <w:szCs w:val="24"/>
          <w:lang w:eastAsia="zh-CN"/>
        </w:rPr>
        <w:t>甲方</w:t>
      </w:r>
      <w:r>
        <w:rPr>
          <w:rFonts w:hint="eastAsia" w:ascii="仿宋" w:hAnsi="仿宋" w:eastAsia="仿宋" w:cs="仿宋"/>
          <w:sz w:val="24"/>
          <w:szCs w:val="24"/>
        </w:rPr>
        <w:t>负责清点货物包装箱件数。在设备安装调试前，买卖双方代表在施工现场共同开箱清点验收货物。若</w:t>
      </w:r>
      <w:r>
        <w:rPr>
          <w:rFonts w:hint="eastAsia" w:ascii="仿宋" w:hAnsi="仿宋" w:eastAsia="仿宋" w:cs="仿宋"/>
          <w:sz w:val="24"/>
          <w:szCs w:val="24"/>
          <w:lang w:eastAsia="zh-CN"/>
        </w:rPr>
        <w:t>乙方</w:t>
      </w:r>
      <w:r>
        <w:rPr>
          <w:rFonts w:hint="eastAsia" w:ascii="仿宋" w:hAnsi="仿宋" w:eastAsia="仿宋" w:cs="仿宋"/>
          <w:sz w:val="24"/>
          <w:szCs w:val="24"/>
        </w:rPr>
        <w:t>因故无法抵达施工现场，则无条件接受</w:t>
      </w:r>
      <w:r>
        <w:rPr>
          <w:rFonts w:hint="eastAsia" w:ascii="仿宋" w:hAnsi="仿宋" w:eastAsia="仿宋" w:cs="仿宋"/>
          <w:sz w:val="24"/>
          <w:szCs w:val="24"/>
          <w:lang w:eastAsia="zh-CN"/>
        </w:rPr>
        <w:t>甲方</w:t>
      </w:r>
      <w:r>
        <w:rPr>
          <w:rFonts w:hint="eastAsia" w:ascii="仿宋" w:hAnsi="仿宋" w:eastAsia="仿宋" w:cs="仿宋"/>
          <w:sz w:val="24"/>
          <w:szCs w:val="24"/>
        </w:rPr>
        <w:t>开箱清点验收结果。开箱清点验收的结果不能对抗在合同设备的安装、调试、验收中及质量保证期内发现的合同设备质量问题，也不能免除或影响</w:t>
      </w:r>
      <w:r>
        <w:rPr>
          <w:rFonts w:hint="eastAsia" w:ascii="仿宋" w:hAnsi="仿宋" w:eastAsia="仿宋" w:cs="仿宋"/>
          <w:sz w:val="24"/>
          <w:szCs w:val="24"/>
          <w:lang w:eastAsia="zh-CN"/>
        </w:rPr>
        <w:t>乙方</w:t>
      </w:r>
      <w:r>
        <w:rPr>
          <w:rFonts w:hint="eastAsia" w:ascii="仿宋" w:hAnsi="仿宋" w:eastAsia="仿宋" w:cs="仿宋"/>
          <w:sz w:val="24"/>
          <w:szCs w:val="24"/>
        </w:rPr>
        <w:t>依照合同约定对</w:t>
      </w:r>
      <w:r>
        <w:rPr>
          <w:rFonts w:hint="eastAsia" w:ascii="仿宋" w:hAnsi="仿宋" w:eastAsia="仿宋" w:cs="仿宋"/>
          <w:sz w:val="24"/>
          <w:szCs w:val="24"/>
          <w:lang w:eastAsia="zh-CN"/>
        </w:rPr>
        <w:t>甲方</w:t>
      </w:r>
      <w:r>
        <w:rPr>
          <w:rFonts w:hint="eastAsia" w:ascii="仿宋" w:hAnsi="仿宋" w:eastAsia="仿宋" w:cs="仿宋"/>
          <w:sz w:val="24"/>
          <w:szCs w:val="24"/>
        </w:rPr>
        <w:t>负有的包括合同设备质量在内的任何义务或责任。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7.4</w:t>
      </w:r>
      <w:r>
        <w:rPr>
          <w:rFonts w:hint="eastAsia" w:ascii="仿宋" w:hAnsi="仿宋" w:eastAsia="仿宋" w:cs="仿宋"/>
          <w:sz w:val="24"/>
          <w:szCs w:val="24"/>
          <w:lang w:eastAsia="zh-CN"/>
        </w:rPr>
        <w:t>甲方</w:t>
      </w:r>
      <w:r>
        <w:rPr>
          <w:rFonts w:hint="eastAsia" w:ascii="仿宋" w:hAnsi="仿宋" w:eastAsia="仿宋" w:cs="仿宋"/>
          <w:sz w:val="24"/>
          <w:szCs w:val="24"/>
        </w:rPr>
        <w:t>有权拒收运抵现场的被损坏或有缺陷的或不符采购文件和谈判时</w:t>
      </w:r>
      <w:r>
        <w:rPr>
          <w:rFonts w:hint="eastAsia" w:ascii="仿宋" w:hAnsi="仿宋" w:eastAsia="仿宋" w:cs="仿宋"/>
          <w:sz w:val="24"/>
          <w:szCs w:val="24"/>
          <w:lang w:eastAsia="zh-CN"/>
        </w:rPr>
        <w:t>乙方</w:t>
      </w:r>
      <w:r>
        <w:rPr>
          <w:rFonts w:hint="eastAsia" w:ascii="仿宋" w:hAnsi="仿宋" w:eastAsia="仿宋" w:cs="仿宋"/>
          <w:sz w:val="24"/>
          <w:szCs w:val="24"/>
        </w:rPr>
        <w:t>做出的书面承诺的任何产品。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7.5</w:t>
      </w:r>
      <w:r>
        <w:rPr>
          <w:rFonts w:hint="eastAsia" w:ascii="仿宋" w:hAnsi="仿宋" w:eastAsia="仿宋" w:cs="仿宋"/>
          <w:sz w:val="24"/>
          <w:szCs w:val="24"/>
        </w:rPr>
        <w:t>设备的所有权自</w:t>
      </w:r>
      <w:r>
        <w:rPr>
          <w:rFonts w:hint="eastAsia" w:ascii="仿宋" w:hAnsi="仿宋" w:eastAsia="仿宋" w:cs="仿宋"/>
          <w:sz w:val="24"/>
          <w:szCs w:val="24"/>
          <w:lang w:eastAsia="zh-CN"/>
        </w:rPr>
        <w:t>乙方</w:t>
      </w:r>
      <w:r>
        <w:rPr>
          <w:rFonts w:hint="eastAsia" w:ascii="仿宋" w:hAnsi="仿宋" w:eastAsia="仿宋" w:cs="仿宋"/>
          <w:sz w:val="24"/>
          <w:szCs w:val="24"/>
        </w:rPr>
        <w:t>将设备运送至</w:t>
      </w:r>
      <w:r>
        <w:rPr>
          <w:rFonts w:hint="eastAsia" w:ascii="仿宋" w:hAnsi="仿宋" w:eastAsia="仿宋" w:cs="仿宋"/>
          <w:sz w:val="24"/>
          <w:szCs w:val="24"/>
          <w:lang w:eastAsia="zh-CN"/>
        </w:rPr>
        <w:t>甲方</w:t>
      </w:r>
      <w:r>
        <w:rPr>
          <w:rFonts w:hint="eastAsia" w:ascii="仿宋" w:hAnsi="仿宋" w:eastAsia="仿宋" w:cs="仿宋"/>
          <w:sz w:val="24"/>
          <w:szCs w:val="24"/>
        </w:rPr>
        <w:t>指定地点后转移至</w:t>
      </w:r>
      <w:r>
        <w:rPr>
          <w:rFonts w:hint="eastAsia" w:ascii="仿宋" w:hAnsi="仿宋" w:eastAsia="仿宋" w:cs="仿宋"/>
          <w:sz w:val="24"/>
          <w:szCs w:val="24"/>
          <w:lang w:eastAsia="zh-CN"/>
        </w:rPr>
        <w:t>甲方</w:t>
      </w:r>
      <w:r>
        <w:rPr>
          <w:rFonts w:hint="eastAsia" w:ascii="仿宋" w:hAnsi="仿宋" w:eastAsia="仿宋" w:cs="仿宋"/>
          <w:sz w:val="24"/>
          <w:szCs w:val="24"/>
        </w:rPr>
        <w:t>。设备在经</w:t>
      </w:r>
      <w:r>
        <w:rPr>
          <w:rFonts w:hint="eastAsia" w:ascii="仿宋" w:hAnsi="仿宋" w:eastAsia="仿宋" w:cs="仿宋"/>
          <w:sz w:val="24"/>
          <w:szCs w:val="24"/>
          <w:lang w:eastAsia="zh-CN"/>
        </w:rPr>
        <w:t>甲方</w:t>
      </w:r>
      <w:r>
        <w:rPr>
          <w:rFonts w:hint="eastAsia" w:ascii="仿宋" w:hAnsi="仿宋" w:eastAsia="仿宋" w:cs="仿宋"/>
          <w:sz w:val="24"/>
          <w:szCs w:val="24"/>
        </w:rPr>
        <w:t>验收合格前，其毁损、灭失的风险由</w:t>
      </w:r>
      <w:r>
        <w:rPr>
          <w:rFonts w:hint="eastAsia" w:ascii="仿宋" w:hAnsi="仿宋" w:eastAsia="仿宋" w:cs="仿宋"/>
          <w:sz w:val="24"/>
          <w:szCs w:val="24"/>
          <w:lang w:eastAsia="zh-CN"/>
        </w:rPr>
        <w:t>乙方</w:t>
      </w:r>
      <w:r>
        <w:rPr>
          <w:rFonts w:hint="eastAsia" w:ascii="仿宋" w:hAnsi="仿宋" w:eastAsia="仿宋" w:cs="仿宋"/>
          <w:sz w:val="24"/>
          <w:szCs w:val="24"/>
        </w:rPr>
        <w:t>承担。</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第八条 到货方式</w:t>
      </w:r>
    </w:p>
    <w:p>
      <w:pPr>
        <w:keepNext w:val="0"/>
        <w:keepLines w:val="0"/>
        <w:pageBreakBefore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8.1</w:t>
      </w:r>
      <w:r>
        <w:rPr>
          <w:rFonts w:hint="eastAsia" w:ascii="仿宋" w:hAnsi="仿宋" w:eastAsia="仿宋" w:cs="仿宋"/>
          <w:color w:val="000000"/>
          <w:sz w:val="24"/>
          <w:szCs w:val="24"/>
        </w:rPr>
        <w:t>所有货物在合同生效后</w:t>
      </w:r>
      <w:permStart w:id="26" w:edGrp="everyone"/>
      <w:r>
        <w:rPr>
          <w:rFonts w:hint="eastAsia" w:ascii="仿宋" w:hAnsi="仿宋" w:eastAsia="仿宋" w:cs="仿宋"/>
          <w:color w:val="FF0000"/>
          <w:sz w:val="24"/>
          <w:szCs w:val="24"/>
          <w:u w:val="single"/>
        </w:rPr>
        <w:t xml:space="preserve">  </w:t>
      </w:r>
      <w:r>
        <w:rPr>
          <w:rFonts w:hint="eastAsia" w:ascii="仿宋" w:hAnsi="仿宋" w:eastAsia="仿宋" w:cs="仿宋"/>
          <w:color w:val="000000"/>
          <w:sz w:val="24"/>
          <w:szCs w:val="24"/>
          <w:u w:val="single"/>
        </w:rPr>
        <w:t xml:space="preserve">    </w:t>
      </w:r>
      <w:permEnd w:id="26"/>
      <w:r>
        <w:rPr>
          <w:rFonts w:hint="eastAsia" w:ascii="仿宋" w:hAnsi="仿宋" w:eastAsia="仿宋" w:cs="仿宋"/>
          <w:color w:val="000000"/>
          <w:sz w:val="24"/>
          <w:szCs w:val="24"/>
        </w:rPr>
        <w:t xml:space="preserve"> 个工作日</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不超过30日</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内运抵</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工地现场并安装、调试结束，达到验收交付要求。</w:t>
      </w:r>
      <w:r>
        <w:rPr>
          <w:rFonts w:hint="eastAsia" w:ascii="仿宋" w:hAnsi="仿宋" w:eastAsia="仿宋" w:cs="仿宋"/>
          <w:color w:val="000000"/>
          <w:sz w:val="24"/>
          <w:szCs w:val="24"/>
          <w:lang w:eastAsia="zh-CN"/>
        </w:rPr>
        <w:t>乙方</w:t>
      </w:r>
      <w:r>
        <w:rPr>
          <w:rFonts w:hint="eastAsia" w:ascii="仿宋" w:hAnsi="仿宋" w:eastAsia="仿宋" w:cs="仿宋"/>
          <w:color w:val="000000"/>
          <w:sz w:val="24"/>
          <w:szCs w:val="24"/>
        </w:rPr>
        <w:t>每逾期一天交货（不足一天按一天计算），按设备总价的</w:t>
      </w:r>
      <w:permStart w:id="27" w:edGrp="everyone"/>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permEnd w:id="27"/>
      <w:r>
        <w:rPr>
          <w:rFonts w:hint="eastAsia" w:ascii="仿宋" w:hAnsi="仿宋" w:eastAsia="仿宋" w:cs="仿宋"/>
          <w:color w:val="000000"/>
          <w:sz w:val="24"/>
          <w:szCs w:val="24"/>
        </w:rPr>
        <w:t>‰收取滞纳金，滞纳金从合同款中扣除。如逾期时间超过</w:t>
      </w:r>
      <w:permStart w:id="28" w:edGrp="everyone"/>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permEnd w:id="28"/>
      <w:r>
        <w:rPr>
          <w:rFonts w:hint="eastAsia" w:ascii="仿宋" w:hAnsi="仿宋" w:eastAsia="仿宋" w:cs="仿宋"/>
          <w:color w:val="000000"/>
          <w:sz w:val="24"/>
          <w:szCs w:val="24"/>
        </w:rPr>
        <w:t>周仍未能交付全部或部分设备（软件），在不妨碍</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其他救济手段的情况下，</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可以向</w:t>
      </w:r>
      <w:r>
        <w:rPr>
          <w:rFonts w:hint="eastAsia" w:ascii="仿宋" w:hAnsi="仿宋" w:eastAsia="仿宋" w:cs="仿宋"/>
          <w:color w:val="000000"/>
          <w:sz w:val="24"/>
          <w:szCs w:val="24"/>
          <w:lang w:eastAsia="zh-CN"/>
        </w:rPr>
        <w:t>乙方</w:t>
      </w:r>
      <w:r>
        <w:rPr>
          <w:rFonts w:hint="eastAsia" w:ascii="仿宋" w:hAnsi="仿宋" w:eastAsia="仿宋" w:cs="仿宋"/>
          <w:color w:val="000000"/>
          <w:sz w:val="24"/>
          <w:szCs w:val="24"/>
        </w:rPr>
        <w:t>发出书面违约通知从而全部或部分地终止合同，并向</w:t>
      </w:r>
      <w:r>
        <w:rPr>
          <w:rFonts w:hint="eastAsia" w:ascii="仿宋" w:hAnsi="仿宋" w:eastAsia="仿宋" w:cs="仿宋"/>
          <w:color w:val="000000"/>
          <w:sz w:val="24"/>
          <w:szCs w:val="24"/>
          <w:lang w:eastAsia="zh-CN"/>
        </w:rPr>
        <w:t>乙方</w:t>
      </w:r>
      <w:r>
        <w:rPr>
          <w:rFonts w:hint="eastAsia" w:ascii="仿宋" w:hAnsi="仿宋" w:eastAsia="仿宋" w:cs="仿宋"/>
          <w:color w:val="000000"/>
          <w:sz w:val="24"/>
          <w:szCs w:val="24"/>
        </w:rPr>
        <w:t>索赔。</w:t>
      </w:r>
    </w:p>
    <w:p>
      <w:pPr>
        <w:keepNext w:val="0"/>
        <w:keepLines w:val="0"/>
        <w:pageBreakBefore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8.2</w:t>
      </w:r>
      <w:r>
        <w:rPr>
          <w:rFonts w:hint="eastAsia" w:ascii="仿宋" w:hAnsi="仿宋" w:eastAsia="仿宋" w:cs="仿宋"/>
          <w:color w:val="000000"/>
          <w:sz w:val="24"/>
          <w:szCs w:val="24"/>
          <w:lang w:eastAsia="zh-CN"/>
        </w:rPr>
        <w:t>乙方</w:t>
      </w:r>
      <w:r>
        <w:rPr>
          <w:rFonts w:hint="eastAsia" w:ascii="仿宋" w:hAnsi="仿宋" w:eastAsia="仿宋" w:cs="仿宋"/>
          <w:color w:val="000000"/>
          <w:sz w:val="24"/>
          <w:szCs w:val="24"/>
        </w:rPr>
        <w:t>逾期交付，</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接受的，不影响</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追究</w:t>
      </w:r>
      <w:r>
        <w:rPr>
          <w:rFonts w:hint="eastAsia" w:ascii="仿宋" w:hAnsi="仿宋" w:eastAsia="仿宋" w:cs="仿宋"/>
          <w:color w:val="000000"/>
          <w:sz w:val="24"/>
          <w:szCs w:val="24"/>
          <w:lang w:eastAsia="zh-CN"/>
        </w:rPr>
        <w:t>乙方</w:t>
      </w:r>
      <w:r>
        <w:rPr>
          <w:rFonts w:hint="eastAsia" w:ascii="仿宋" w:hAnsi="仿宋" w:eastAsia="仿宋" w:cs="仿宋"/>
          <w:color w:val="000000"/>
          <w:sz w:val="24"/>
          <w:szCs w:val="24"/>
        </w:rPr>
        <w:t>逾期交付的违约责任。</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第九条 交货周期、包修、保修</w:t>
      </w:r>
    </w:p>
    <w:p>
      <w:pPr>
        <w:keepNext w:val="0"/>
        <w:keepLines w:val="0"/>
        <w:pageBreakBefore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9.1交货周期：软件开发和系统调试的进度严格按照双方约定的工程进度表进行。</w:t>
      </w:r>
    </w:p>
    <w:p>
      <w:pPr>
        <w:keepNext w:val="0"/>
        <w:keepLines w:val="0"/>
        <w:pageBreakBefore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9.2包修期：整个系统的包修期为</w:t>
      </w:r>
      <w:permStart w:id="29" w:edGrp="everyone"/>
      <w:r>
        <w:rPr>
          <w:rFonts w:hint="eastAsia" w:ascii="仿宋" w:hAnsi="仿宋" w:eastAsia="仿宋" w:cs="仿宋"/>
          <w:color w:val="000000"/>
          <w:sz w:val="24"/>
          <w:szCs w:val="24"/>
          <w:lang w:val="en-US" w:eastAsia="zh-CN"/>
        </w:rPr>
        <w:t>☑</w:t>
      </w:r>
      <w:permEnd w:id="29"/>
      <w:r>
        <w:rPr>
          <w:rFonts w:hint="eastAsia" w:ascii="仿宋" w:hAnsi="仿宋" w:eastAsia="仿宋" w:cs="仿宋"/>
          <w:color w:val="000000"/>
          <w:sz w:val="24"/>
          <w:szCs w:val="24"/>
          <w:lang w:val="en-US" w:eastAsia="zh-CN"/>
        </w:rPr>
        <w:t>初验/</w:t>
      </w:r>
      <w:permStart w:id="30" w:edGrp="everyone"/>
      <w:r>
        <w:rPr>
          <w:rFonts w:hint="eastAsia" w:ascii="仿宋" w:hAnsi="仿宋" w:eastAsia="仿宋" w:cs="仿宋"/>
          <w:color w:val="000000"/>
          <w:sz w:val="24"/>
          <w:szCs w:val="24"/>
          <w:lang w:val="en-US" w:eastAsia="zh-CN"/>
        </w:rPr>
        <w:t>□</w:t>
      </w:r>
      <w:permEnd w:id="30"/>
      <w:r>
        <w:rPr>
          <w:rFonts w:hint="eastAsia" w:ascii="仿宋" w:hAnsi="仿宋" w:eastAsia="仿宋" w:cs="仿宋"/>
          <w:color w:val="000000"/>
          <w:sz w:val="24"/>
          <w:szCs w:val="24"/>
          <w:lang w:val="en-US" w:eastAsia="zh-CN"/>
        </w:rPr>
        <w:t>终验收合格后</w:t>
      </w:r>
      <w:permStart w:id="31" w:edGrp="everyone"/>
      <w:r>
        <w:rPr>
          <w:rFonts w:hint="eastAsia" w:ascii="仿宋" w:hAnsi="仿宋" w:eastAsia="仿宋" w:cs="仿宋"/>
          <w:color w:val="000000"/>
          <w:sz w:val="24"/>
          <w:szCs w:val="24"/>
          <w:lang w:val="en-US" w:eastAsia="zh-CN"/>
        </w:rPr>
        <w:t>【】</w:t>
      </w:r>
      <w:permEnd w:id="31"/>
      <w:r>
        <w:rPr>
          <w:rFonts w:hint="eastAsia" w:ascii="仿宋" w:hAnsi="仿宋" w:eastAsia="仿宋" w:cs="仿宋"/>
          <w:color w:val="000000"/>
          <w:sz w:val="24"/>
          <w:szCs w:val="24"/>
          <w:lang w:val="en-US" w:eastAsia="zh-CN"/>
        </w:rPr>
        <w:t>年（不少于5年）。在包修期内，软硬件故障的排、修复以及必要的功能升级，均由乙方免费提供。免费包修期，故障设备乙方应在【】小时内予以更换，更换故障部件的免费包修期从更换日期起重新计算。超过免费质保期后，乙方对其提供的产品在设备寿命期内提供有偿保修服务。</w:t>
      </w:r>
    </w:p>
    <w:p>
      <w:pPr>
        <w:keepNext w:val="0"/>
        <w:keepLines w:val="0"/>
        <w:pageBreakBefore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9.3保修期：</w:t>
      </w:r>
      <w:permStart w:id="32" w:edGrp="everyone"/>
      <w:r>
        <w:rPr>
          <w:rFonts w:hint="eastAsia" w:ascii="仿宋" w:hAnsi="仿宋" w:eastAsia="仿宋" w:cs="仿宋"/>
          <w:color w:val="000000"/>
          <w:sz w:val="24"/>
          <w:szCs w:val="24"/>
          <w:lang w:val="en-US" w:eastAsia="zh-CN"/>
        </w:rPr>
        <w:t>【】</w:t>
      </w:r>
      <w:permEnd w:id="32"/>
      <w:r>
        <w:rPr>
          <w:rFonts w:hint="eastAsia" w:ascii="仿宋" w:hAnsi="仿宋" w:eastAsia="仿宋" w:cs="仿宋"/>
          <w:color w:val="000000"/>
          <w:sz w:val="24"/>
          <w:szCs w:val="24"/>
          <w:lang w:val="en-US" w:eastAsia="zh-CN"/>
        </w:rPr>
        <w:t>年的包修期结束后，乙方应提供终身保修服务。如甲方要求乙方提供维保服务，则维保服务的内容与包修期相同。整个平台的维保年服务费用（全包）应不超过成交总价（合同价）的</w:t>
      </w:r>
      <w:permStart w:id="33" w:edGrp="everyone"/>
      <w:r>
        <w:rPr>
          <w:rFonts w:hint="eastAsia" w:ascii="仿宋" w:hAnsi="仿宋" w:eastAsia="仿宋" w:cs="仿宋"/>
          <w:color w:val="000000"/>
          <w:sz w:val="24"/>
          <w:szCs w:val="24"/>
          <w:lang w:val="en-US" w:eastAsia="zh-CN"/>
        </w:rPr>
        <w:t>【】</w:t>
      </w:r>
      <w:permEnd w:id="33"/>
      <w:r>
        <w:rPr>
          <w:rFonts w:hint="eastAsia" w:ascii="仿宋" w:hAnsi="仿宋" w:eastAsia="仿宋" w:cs="仿宋"/>
          <w:color w:val="000000"/>
          <w:sz w:val="24"/>
          <w:szCs w:val="24"/>
          <w:lang w:val="en-US" w:eastAsia="zh-CN"/>
        </w:rPr>
        <w:t>%。</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第十条 验收标准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10.1</w:t>
      </w:r>
      <w:r>
        <w:rPr>
          <w:rFonts w:hint="eastAsia" w:ascii="仿宋" w:hAnsi="仿宋" w:eastAsia="仿宋" w:cs="仿宋"/>
          <w:sz w:val="24"/>
          <w:szCs w:val="24"/>
          <w:lang w:eastAsia="zh-CN"/>
        </w:rPr>
        <w:t>乙方</w:t>
      </w:r>
      <w:r>
        <w:rPr>
          <w:rFonts w:hint="eastAsia" w:ascii="仿宋" w:hAnsi="仿宋" w:eastAsia="仿宋" w:cs="仿宋"/>
          <w:sz w:val="24"/>
          <w:szCs w:val="24"/>
        </w:rPr>
        <w:t>需免费提供验收所需的测试工具、并搭建测试环境，按</w:t>
      </w:r>
      <w:r>
        <w:rPr>
          <w:rFonts w:hint="eastAsia" w:ascii="仿宋" w:hAnsi="仿宋" w:eastAsia="仿宋" w:cs="仿宋"/>
          <w:sz w:val="24"/>
          <w:szCs w:val="24"/>
          <w:lang w:eastAsia="zh-CN"/>
        </w:rPr>
        <w:t>甲方</w:t>
      </w:r>
      <w:r>
        <w:rPr>
          <w:rFonts w:hint="eastAsia" w:ascii="仿宋" w:hAnsi="仿宋" w:eastAsia="仿宋" w:cs="仿宋"/>
          <w:sz w:val="24"/>
          <w:szCs w:val="24"/>
        </w:rPr>
        <w:t>采购文件、谈判时</w:t>
      </w:r>
      <w:r>
        <w:rPr>
          <w:rFonts w:hint="eastAsia" w:ascii="仿宋" w:hAnsi="仿宋" w:eastAsia="仿宋" w:cs="仿宋"/>
          <w:sz w:val="24"/>
          <w:szCs w:val="24"/>
          <w:lang w:eastAsia="zh-CN"/>
        </w:rPr>
        <w:t>乙方</w:t>
      </w:r>
      <w:r>
        <w:rPr>
          <w:rFonts w:hint="eastAsia" w:ascii="仿宋" w:hAnsi="仿宋" w:eastAsia="仿宋" w:cs="仿宋"/>
          <w:sz w:val="24"/>
          <w:szCs w:val="24"/>
        </w:rPr>
        <w:t>做出的书面承诺以及买卖双方共同签订的补充协议的要求进行验收。</w:t>
      </w:r>
      <w:r>
        <w:rPr>
          <w:rFonts w:hint="eastAsia" w:ascii="仿宋" w:hAnsi="仿宋" w:eastAsia="仿宋" w:cs="仿宋"/>
          <w:sz w:val="24"/>
          <w:szCs w:val="24"/>
          <w:lang w:eastAsia="zh-CN"/>
        </w:rPr>
        <w:t>乙方</w:t>
      </w:r>
      <w:r>
        <w:rPr>
          <w:rFonts w:hint="eastAsia" w:ascii="仿宋" w:hAnsi="仿宋" w:eastAsia="仿宋" w:cs="仿宋"/>
          <w:sz w:val="24"/>
          <w:szCs w:val="24"/>
        </w:rPr>
        <w:t>在货到安装调试完毕、系统达到技术要求规定的指标并开通业务后，向</w:t>
      </w:r>
      <w:r>
        <w:rPr>
          <w:rFonts w:hint="eastAsia" w:ascii="仿宋" w:hAnsi="仿宋" w:eastAsia="仿宋" w:cs="仿宋"/>
          <w:sz w:val="24"/>
          <w:szCs w:val="24"/>
          <w:lang w:eastAsia="zh-CN"/>
        </w:rPr>
        <w:t>甲方</w:t>
      </w:r>
      <w:r>
        <w:rPr>
          <w:rFonts w:hint="eastAsia" w:ascii="仿宋" w:hAnsi="仿宋" w:eastAsia="仿宋" w:cs="仿宋"/>
          <w:sz w:val="24"/>
          <w:szCs w:val="24"/>
        </w:rPr>
        <w:t>提交统初验申请报告，</w:t>
      </w:r>
      <w:r>
        <w:rPr>
          <w:rFonts w:hint="eastAsia" w:ascii="仿宋" w:hAnsi="仿宋" w:eastAsia="仿宋" w:cs="仿宋"/>
          <w:sz w:val="24"/>
          <w:szCs w:val="24"/>
          <w:lang w:eastAsia="zh-CN"/>
        </w:rPr>
        <w:t>甲方</w:t>
      </w:r>
      <w:r>
        <w:rPr>
          <w:rFonts w:hint="eastAsia" w:ascii="仿宋" w:hAnsi="仿宋" w:eastAsia="仿宋" w:cs="仿宋"/>
          <w:sz w:val="24"/>
          <w:szCs w:val="24"/>
        </w:rPr>
        <w:t>应在接到</w:t>
      </w:r>
      <w:r>
        <w:rPr>
          <w:rFonts w:hint="eastAsia" w:ascii="仿宋" w:hAnsi="仿宋" w:eastAsia="仿宋" w:cs="仿宋"/>
          <w:sz w:val="24"/>
          <w:szCs w:val="24"/>
          <w:lang w:eastAsia="zh-CN"/>
        </w:rPr>
        <w:t>乙方</w:t>
      </w:r>
      <w:r>
        <w:rPr>
          <w:rFonts w:hint="eastAsia" w:ascii="仿宋" w:hAnsi="仿宋" w:eastAsia="仿宋" w:cs="仿宋"/>
          <w:sz w:val="24"/>
          <w:szCs w:val="24"/>
        </w:rPr>
        <w:t>提供的系统初验申请报告后</w:t>
      </w:r>
      <w:permStart w:id="34" w:edGrp="everyone"/>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w:t>
      </w:r>
      <w:permEnd w:id="34"/>
      <w:r>
        <w:rPr>
          <w:rFonts w:hint="eastAsia" w:ascii="仿宋" w:hAnsi="仿宋" w:eastAsia="仿宋" w:cs="仿宋"/>
          <w:sz w:val="24"/>
          <w:szCs w:val="24"/>
        </w:rPr>
        <w:t>个工作日内组织有关部门进行初验。初验合格的，买卖双方确定系统试运行开始日期、试运行方案及终验方案。试运行期为初验通过后的</w:t>
      </w:r>
      <w:permStart w:id="35" w:edGrp="everyone"/>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permEnd w:id="35"/>
      <w:r>
        <w:rPr>
          <w:rFonts w:hint="eastAsia" w:ascii="仿宋" w:hAnsi="仿宋" w:eastAsia="仿宋" w:cs="仿宋"/>
          <w:sz w:val="24"/>
          <w:szCs w:val="24"/>
        </w:rPr>
        <w:t>个月。在试运行期结束后，如系统的设备性能和业务功能满足采购文件、谈判时</w:t>
      </w:r>
      <w:r>
        <w:rPr>
          <w:rFonts w:hint="eastAsia" w:ascii="仿宋" w:hAnsi="仿宋" w:eastAsia="仿宋" w:cs="仿宋"/>
          <w:sz w:val="24"/>
          <w:szCs w:val="24"/>
          <w:lang w:eastAsia="zh-CN"/>
        </w:rPr>
        <w:t>乙方</w:t>
      </w:r>
      <w:r>
        <w:rPr>
          <w:rFonts w:hint="eastAsia" w:ascii="仿宋" w:hAnsi="仿宋" w:eastAsia="仿宋" w:cs="仿宋"/>
          <w:sz w:val="24"/>
          <w:szCs w:val="24"/>
        </w:rPr>
        <w:t>做出的书面承诺以及买卖双方共同签订的补充协议的要求，</w:t>
      </w:r>
      <w:r>
        <w:rPr>
          <w:rFonts w:hint="eastAsia" w:ascii="仿宋" w:hAnsi="仿宋" w:eastAsia="仿宋" w:cs="仿宋"/>
          <w:sz w:val="24"/>
          <w:szCs w:val="24"/>
          <w:lang w:eastAsia="zh-CN"/>
        </w:rPr>
        <w:t>乙方</w:t>
      </w:r>
      <w:r>
        <w:rPr>
          <w:rFonts w:hint="eastAsia" w:ascii="仿宋" w:hAnsi="仿宋" w:eastAsia="仿宋" w:cs="仿宋"/>
          <w:sz w:val="24"/>
          <w:szCs w:val="24"/>
        </w:rPr>
        <w:t>应提交终验申请报告和试运行报告，试运行报告应包括所有数据记录和故障处理过程。</w:t>
      </w:r>
      <w:r>
        <w:rPr>
          <w:rFonts w:hint="eastAsia" w:ascii="仿宋" w:hAnsi="仿宋" w:eastAsia="仿宋" w:cs="仿宋"/>
          <w:sz w:val="24"/>
          <w:szCs w:val="24"/>
          <w:lang w:eastAsia="zh-CN"/>
        </w:rPr>
        <w:t>甲方</w:t>
      </w:r>
      <w:r>
        <w:rPr>
          <w:rFonts w:hint="eastAsia" w:ascii="仿宋" w:hAnsi="仿宋" w:eastAsia="仿宋" w:cs="仿宋"/>
          <w:sz w:val="24"/>
          <w:szCs w:val="24"/>
        </w:rPr>
        <w:t>应在收到终验申请报告及全部文件后的</w:t>
      </w:r>
      <w:permStart w:id="36" w:edGrp="everyone"/>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w:t>
      </w:r>
      <w:permEnd w:id="36"/>
      <w:r>
        <w:rPr>
          <w:rFonts w:hint="eastAsia" w:ascii="仿宋" w:hAnsi="仿宋" w:eastAsia="仿宋" w:cs="仿宋"/>
          <w:sz w:val="24"/>
          <w:szCs w:val="24"/>
        </w:rPr>
        <w:t>个工作日内组织有关部门验收，并在验收后</w:t>
      </w:r>
      <w:permStart w:id="37" w:edGrp="everyone"/>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w:t>
      </w:r>
      <w:permEnd w:id="37"/>
      <w:r>
        <w:rPr>
          <w:rFonts w:hint="eastAsia" w:ascii="仿宋" w:hAnsi="仿宋" w:eastAsia="仿宋" w:cs="仿宋"/>
          <w:sz w:val="24"/>
          <w:szCs w:val="24"/>
        </w:rPr>
        <w:t>个工作日内给予验收结果或提出修改意见。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10.2</w:t>
      </w:r>
      <w:r>
        <w:rPr>
          <w:rFonts w:hint="eastAsia" w:ascii="仿宋" w:hAnsi="仿宋" w:eastAsia="仿宋" w:cs="仿宋"/>
          <w:sz w:val="24"/>
          <w:szCs w:val="24"/>
        </w:rPr>
        <w:t>如第一次初验或终验未通过，</w:t>
      </w:r>
      <w:r>
        <w:rPr>
          <w:rFonts w:hint="eastAsia" w:ascii="仿宋" w:hAnsi="仿宋" w:eastAsia="仿宋" w:cs="仿宋"/>
          <w:sz w:val="24"/>
          <w:szCs w:val="24"/>
          <w:lang w:eastAsia="zh-CN"/>
        </w:rPr>
        <w:t>甲方</w:t>
      </w:r>
      <w:r>
        <w:rPr>
          <w:rFonts w:hint="eastAsia" w:ascii="仿宋" w:hAnsi="仿宋" w:eastAsia="仿宋" w:cs="仿宋"/>
          <w:sz w:val="24"/>
          <w:szCs w:val="24"/>
        </w:rPr>
        <w:t>应将有关不符合要求的情况书面通知</w:t>
      </w:r>
      <w:r>
        <w:rPr>
          <w:rFonts w:hint="eastAsia" w:ascii="仿宋" w:hAnsi="仿宋" w:eastAsia="仿宋" w:cs="仿宋"/>
          <w:sz w:val="24"/>
          <w:szCs w:val="24"/>
          <w:lang w:eastAsia="zh-CN"/>
        </w:rPr>
        <w:t>乙方</w:t>
      </w:r>
      <w:r>
        <w:rPr>
          <w:rFonts w:hint="eastAsia" w:ascii="仿宋" w:hAnsi="仿宋" w:eastAsia="仿宋" w:cs="仿宋"/>
          <w:sz w:val="24"/>
          <w:szCs w:val="24"/>
        </w:rPr>
        <w:t>，</w:t>
      </w:r>
      <w:r>
        <w:rPr>
          <w:rFonts w:hint="eastAsia" w:ascii="仿宋" w:hAnsi="仿宋" w:eastAsia="仿宋" w:cs="仿宋"/>
          <w:sz w:val="24"/>
          <w:szCs w:val="24"/>
          <w:lang w:eastAsia="zh-CN"/>
        </w:rPr>
        <w:t>乙方</w:t>
      </w:r>
      <w:r>
        <w:rPr>
          <w:rFonts w:hint="eastAsia" w:ascii="仿宋" w:hAnsi="仿宋" w:eastAsia="仿宋" w:cs="仿宋"/>
          <w:sz w:val="24"/>
          <w:szCs w:val="24"/>
        </w:rPr>
        <w:t>应在收到</w:t>
      </w:r>
      <w:r>
        <w:rPr>
          <w:rFonts w:hint="eastAsia" w:ascii="仿宋" w:hAnsi="仿宋" w:eastAsia="仿宋" w:cs="仿宋"/>
          <w:sz w:val="24"/>
          <w:szCs w:val="24"/>
          <w:lang w:eastAsia="zh-CN"/>
        </w:rPr>
        <w:t>甲方</w:t>
      </w:r>
      <w:r>
        <w:rPr>
          <w:rFonts w:hint="eastAsia" w:ascii="仿宋" w:hAnsi="仿宋" w:eastAsia="仿宋" w:cs="仿宋"/>
          <w:sz w:val="24"/>
          <w:szCs w:val="24"/>
        </w:rPr>
        <w:t>书面通知后</w:t>
      </w:r>
      <w:permStart w:id="38" w:edGrp="everyone"/>
      <w:r>
        <w:rPr>
          <w:rFonts w:hint="eastAsia" w:ascii="仿宋" w:hAnsi="仿宋" w:eastAsia="仿宋" w:cs="仿宋"/>
          <w:sz w:val="24"/>
          <w:szCs w:val="24"/>
        </w:rPr>
        <w:t>【</w:t>
      </w:r>
      <w:r>
        <w:rPr>
          <w:rFonts w:hint="eastAsia" w:ascii="仿宋" w:hAnsi="仿宋" w:eastAsia="仿宋" w:cs="仿宋"/>
          <w:sz w:val="24"/>
          <w:szCs w:val="24"/>
          <w:lang w:val="en-US" w:eastAsia="zh-CN"/>
        </w:rPr>
        <w:t>20</w:t>
      </w:r>
      <w:r>
        <w:rPr>
          <w:rFonts w:hint="eastAsia" w:ascii="仿宋" w:hAnsi="仿宋" w:eastAsia="仿宋" w:cs="仿宋"/>
          <w:sz w:val="24"/>
          <w:szCs w:val="24"/>
        </w:rPr>
        <w:t>】</w:t>
      </w:r>
      <w:permEnd w:id="38"/>
      <w:r>
        <w:rPr>
          <w:rFonts w:hint="eastAsia" w:ascii="仿宋" w:hAnsi="仿宋" w:eastAsia="仿宋" w:cs="仿宋"/>
          <w:sz w:val="24"/>
          <w:szCs w:val="24"/>
        </w:rPr>
        <w:t>天内完成对系统的调整，使系统达到验收标准，并再次向</w:t>
      </w:r>
      <w:r>
        <w:rPr>
          <w:rFonts w:hint="eastAsia" w:ascii="仿宋" w:hAnsi="仿宋" w:eastAsia="仿宋" w:cs="仿宋"/>
          <w:sz w:val="24"/>
          <w:szCs w:val="24"/>
          <w:lang w:eastAsia="zh-CN"/>
        </w:rPr>
        <w:t>甲方</w:t>
      </w:r>
      <w:r>
        <w:rPr>
          <w:rFonts w:hint="eastAsia" w:ascii="仿宋" w:hAnsi="仿宋" w:eastAsia="仿宋" w:cs="仿宋"/>
          <w:sz w:val="24"/>
          <w:szCs w:val="24"/>
        </w:rPr>
        <w:t>提出验收申请。</w:t>
      </w:r>
      <w:r>
        <w:rPr>
          <w:rFonts w:hint="eastAsia" w:ascii="仿宋" w:hAnsi="仿宋" w:eastAsia="仿宋" w:cs="仿宋"/>
          <w:sz w:val="24"/>
          <w:szCs w:val="24"/>
          <w:lang w:eastAsia="zh-CN"/>
        </w:rPr>
        <w:t>甲方</w:t>
      </w:r>
      <w:r>
        <w:rPr>
          <w:rFonts w:hint="eastAsia" w:ascii="仿宋" w:hAnsi="仿宋" w:eastAsia="仿宋" w:cs="仿宋"/>
          <w:sz w:val="24"/>
          <w:szCs w:val="24"/>
        </w:rPr>
        <w:t>应在接到调整后的系统验收申请报告</w:t>
      </w:r>
      <w:permStart w:id="39" w:edGrp="everyone"/>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w:t>
      </w:r>
      <w:permEnd w:id="39"/>
      <w:r>
        <w:rPr>
          <w:rFonts w:hint="eastAsia" w:ascii="仿宋" w:hAnsi="仿宋" w:eastAsia="仿宋" w:cs="仿宋"/>
          <w:sz w:val="24"/>
          <w:szCs w:val="24"/>
        </w:rPr>
        <w:t>个工作日内组织第二次验收。如系统仍未通过验收，则视为系统不合格，</w:t>
      </w:r>
      <w:r>
        <w:rPr>
          <w:rFonts w:hint="eastAsia" w:ascii="仿宋" w:hAnsi="仿宋" w:eastAsia="仿宋" w:cs="仿宋"/>
          <w:sz w:val="24"/>
          <w:szCs w:val="24"/>
          <w:lang w:eastAsia="zh-CN"/>
        </w:rPr>
        <w:t>甲方</w:t>
      </w:r>
      <w:r>
        <w:rPr>
          <w:rFonts w:hint="eastAsia" w:ascii="仿宋" w:hAnsi="仿宋" w:eastAsia="仿宋" w:cs="仿宋"/>
          <w:sz w:val="24"/>
          <w:szCs w:val="24"/>
        </w:rPr>
        <w:t>有权按照本合同的相关条款追究</w:t>
      </w:r>
      <w:r>
        <w:rPr>
          <w:rFonts w:hint="eastAsia" w:ascii="仿宋" w:hAnsi="仿宋" w:eastAsia="仿宋" w:cs="仿宋"/>
          <w:sz w:val="24"/>
          <w:szCs w:val="24"/>
          <w:lang w:eastAsia="zh-CN"/>
        </w:rPr>
        <w:t>乙方</w:t>
      </w:r>
      <w:r>
        <w:rPr>
          <w:rFonts w:hint="eastAsia" w:ascii="仿宋" w:hAnsi="仿宋" w:eastAsia="仿宋" w:cs="仿宋"/>
          <w:sz w:val="24"/>
          <w:szCs w:val="24"/>
        </w:rPr>
        <w:t>的责任。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10.3</w:t>
      </w:r>
      <w:r>
        <w:rPr>
          <w:rFonts w:hint="eastAsia" w:ascii="仿宋" w:hAnsi="仿宋" w:eastAsia="仿宋" w:cs="仿宋"/>
          <w:sz w:val="24"/>
          <w:szCs w:val="24"/>
        </w:rPr>
        <w:t>因</w:t>
      </w:r>
      <w:r>
        <w:rPr>
          <w:rFonts w:hint="eastAsia" w:ascii="仿宋" w:hAnsi="仿宋" w:eastAsia="仿宋" w:cs="仿宋"/>
          <w:sz w:val="24"/>
          <w:szCs w:val="24"/>
          <w:lang w:eastAsia="zh-CN"/>
        </w:rPr>
        <w:t>乙方</w:t>
      </w:r>
      <w:r>
        <w:rPr>
          <w:rFonts w:hint="eastAsia" w:ascii="仿宋" w:hAnsi="仿宋" w:eastAsia="仿宋" w:cs="仿宋"/>
          <w:sz w:val="24"/>
          <w:szCs w:val="24"/>
        </w:rPr>
        <w:t>原因未能按期进行厂验或系统厂验未通过，</w:t>
      </w:r>
      <w:r>
        <w:rPr>
          <w:rFonts w:hint="eastAsia" w:ascii="仿宋" w:hAnsi="仿宋" w:eastAsia="仿宋" w:cs="仿宋"/>
          <w:sz w:val="24"/>
          <w:szCs w:val="24"/>
          <w:lang w:eastAsia="zh-CN"/>
        </w:rPr>
        <w:t>甲方</w:t>
      </w:r>
      <w:r>
        <w:rPr>
          <w:rFonts w:hint="eastAsia" w:ascii="仿宋" w:hAnsi="仿宋" w:eastAsia="仿宋" w:cs="仿宋"/>
          <w:sz w:val="24"/>
          <w:szCs w:val="24"/>
        </w:rPr>
        <w:t>有权终止采购合同，并且期间</w:t>
      </w:r>
      <w:r>
        <w:rPr>
          <w:rFonts w:hint="eastAsia" w:ascii="仿宋" w:hAnsi="仿宋" w:eastAsia="仿宋" w:cs="仿宋"/>
          <w:sz w:val="24"/>
          <w:szCs w:val="24"/>
          <w:lang w:eastAsia="zh-CN"/>
        </w:rPr>
        <w:t>甲方</w:t>
      </w:r>
      <w:r>
        <w:rPr>
          <w:rFonts w:hint="eastAsia" w:ascii="仿宋" w:hAnsi="仿宋" w:eastAsia="仿宋" w:cs="仿宋"/>
          <w:sz w:val="24"/>
          <w:szCs w:val="24"/>
        </w:rPr>
        <w:t>所有损失由</w:t>
      </w:r>
      <w:r>
        <w:rPr>
          <w:rFonts w:hint="eastAsia" w:ascii="仿宋" w:hAnsi="仿宋" w:eastAsia="仿宋" w:cs="仿宋"/>
          <w:sz w:val="24"/>
          <w:szCs w:val="24"/>
          <w:lang w:eastAsia="zh-CN"/>
        </w:rPr>
        <w:t>乙方</w:t>
      </w:r>
      <w:r>
        <w:rPr>
          <w:rFonts w:hint="eastAsia" w:ascii="仿宋" w:hAnsi="仿宋" w:eastAsia="仿宋" w:cs="仿宋"/>
          <w:sz w:val="24"/>
          <w:szCs w:val="24"/>
        </w:rPr>
        <w:t>承担。</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10.4</w:t>
      </w:r>
      <w:r>
        <w:rPr>
          <w:rFonts w:hint="eastAsia" w:ascii="仿宋" w:hAnsi="仿宋" w:eastAsia="仿宋" w:cs="仿宋"/>
          <w:sz w:val="24"/>
          <w:szCs w:val="24"/>
        </w:rPr>
        <w:t>因</w:t>
      </w:r>
      <w:r>
        <w:rPr>
          <w:rFonts w:hint="eastAsia" w:ascii="仿宋" w:hAnsi="仿宋" w:eastAsia="仿宋" w:cs="仿宋"/>
          <w:sz w:val="24"/>
          <w:szCs w:val="24"/>
          <w:lang w:eastAsia="zh-CN"/>
        </w:rPr>
        <w:t>甲方</w:t>
      </w:r>
      <w:r>
        <w:rPr>
          <w:rFonts w:hint="eastAsia" w:ascii="仿宋" w:hAnsi="仿宋" w:eastAsia="仿宋" w:cs="仿宋"/>
          <w:sz w:val="24"/>
          <w:szCs w:val="24"/>
        </w:rPr>
        <w:t>原因未能及时组织初验或终验，</w:t>
      </w:r>
      <w:r>
        <w:rPr>
          <w:rFonts w:hint="eastAsia" w:ascii="仿宋" w:hAnsi="仿宋" w:eastAsia="仿宋" w:cs="仿宋"/>
          <w:sz w:val="24"/>
          <w:szCs w:val="24"/>
          <w:lang w:eastAsia="zh-CN"/>
        </w:rPr>
        <w:t>甲方</w:t>
      </w:r>
      <w:r>
        <w:rPr>
          <w:rFonts w:hint="eastAsia" w:ascii="仿宋" w:hAnsi="仿宋" w:eastAsia="仿宋" w:cs="仿宋"/>
          <w:sz w:val="24"/>
          <w:szCs w:val="24"/>
        </w:rPr>
        <w:t>应在</w:t>
      </w:r>
      <w:r>
        <w:rPr>
          <w:rFonts w:hint="eastAsia" w:ascii="仿宋" w:hAnsi="仿宋" w:eastAsia="仿宋" w:cs="仿宋"/>
          <w:sz w:val="24"/>
          <w:szCs w:val="24"/>
          <w:lang w:eastAsia="zh-CN"/>
        </w:rPr>
        <w:t>乙方</w:t>
      </w:r>
      <w:r>
        <w:rPr>
          <w:rFonts w:hint="eastAsia" w:ascii="仿宋" w:hAnsi="仿宋" w:eastAsia="仿宋" w:cs="仿宋"/>
          <w:sz w:val="24"/>
          <w:szCs w:val="24"/>
        </w:rPr>
        <w:t>的协助下尽快解决问题。</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10.5</w:t>
      </w:r>
      <w:r>
        <w:rPr>
          <w:rFonts w:hint="eastAsia" w:ascii="仿宋" w:hAnsi="仿宋" w:eastAsia="仿宋" w:cs="仿宋"/>
          <w:sz w:val="24"/>
          <w:szCs w:val="24"/>
        </w:rPr>
        <w:t>买卖双方应按合同规定的时间进行初验和终验，验收时间因各种原因需要更改的，买卖双方应共同商定修改验收日期。</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10.6</w:t>
      </w:r>
      <w:r>
        <w:rPr>
          <w:rFonts w:hint="eastAsia" w:ascii="仿宋" w:hAnsi="仿宋" w:eastAsia="仿宋" w:cs="仿宋"/>
          <w:sz w:val="24"/>
          <w:szCs w:val="24"/>
        </w:rPr>
        <w:t>在初验和终验过程中，若一方对验收过程或结果提出质疑，且经协商不成的，可由</w:t>
      </w:r>
      <w:r>
        <w:rPr>
          <w:rFonts w:hint="eastAsia" w:ascii="仿宋" w:hAnsi="仿宋" w:eastAsia="仿宋" w:cs="仿宋"/>
          <w:sz w:val="24"/>
          <w:szCs w:val="24"/>
          <w:lang w:eastAsia="zh-CN"/>
        </w:rPr>
        <w:t>甲方</w:t>
      </w:r>
      <w:r>
        <w:rPr>
          <w:rFonts w:hint="eastAsia" w:ascii="仿宋" w:hAnsi="仿宋" w:eastAsia="仿宋" w:cs="仿宋"/>
          <w:sz w:val="24"/>
          <w:szCs w:val="24"/>
        </w:rPr>
        <w:t>选择法定检验机构进行检验，检验费用由</w:t>
      </w:r>
      <w:r>
        <w:rPr>
          <w:rFonts w:hint="eastAsia" w:ascii="仿宋" w:hAnsi="仿宋" w:eastAsia="仿宋" w:cs="仿宋"/>
          <w:sz w:val="24"/>
          <w:szCs w:val="24"/>
          <w:lang w:eastAsia="zh-CN"/>
        </w:rPr>
        <w:t>乙方</w:t>
      </w:r>
      <w:r>
        <w:rPr>
          <w:rFonts w:hint="eastAsia" w:ascii="仿宋" w:hAnsi="仿宋" w:eastAsia="仿宋" w:cs="仿宋"/>
          <w:sz w:val="24"/>
          <w:szCs w:val="24"/>
        </w:rPr>
        <w:t>承担。</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10.7</w:t>
      </w:r>
      <w:r>
        <w:rPr>
          <w:rFonts w:hint="eastAsia" w:ascii="仿宋" w:hAnsi="仿宋" w:eastAsia="仿宋" w:cs="仿宋"/>
          <w:sz w:val="24"/>
          <w:szCs w:val="24"/>
        </w:rPr>
        <w:t>买卖双方约定合同产品检验期自交货日起至</w:t>
      </w:r>
      <w:bookmarkStart w:id="18" w:name="_Hlk53388292"/>
      <w:permStart w:id="40" w:edGrp="everyone"/>
      <w:r>
        <w:rPr>
          <w:rFonts w:hint="eastAsia" w:ascii="仿宋" w:hAnsi="仿宋" w:eastAsia="仿宋" w:cs="仿宋"/>
          <w:sz w:val="24"/>
          <w:szCs w:val="24"/>
          <w:lang w:eastAsia="zh-CN"/>
        </w:rPr>
        <w:t>☑</w:t>
      </w:r>
      <w:permEnd w:id="40"/>
      <w:r>
        <w:rPr>
          <w:rFonts w:hint="eastAsia" w:ascii="仿宋" w:hAnsi="仿宋" w:eastAsia="仿宋" w:cs="仿宋"/>
          <w:sz w:val="24"/>
          <w:szCs w:val="24"/>
        </w:rPr>
        <w:t>初验/</w:t>
      </w:r>
      <w:permStart w:id="41" w:edGrp="everyone"/>
      <w:r>
        <w:rPr>
          <w:rFonts w:hint="eastAsia" w:ascii="仿宋" w:hAnsi="仿宋" w:eastAsia="仿宋" w:cs="仿宋"/>
          <w:sz w:val="24"/>
          <w:szCs w:val="24"/>
        </w:rPr>
        <w:t>□</w:t>
      </w:r>
      <w:permEnd w:id="41"/>
      <w:r>
        <w:rPr>
          <w:rFonts w:hint="eastAsia" w:ascii="仿宋" w:hAnsi="仿宋" w:eastAsia="仿宋" w:cs="仿宋"/>
          <w:sz w:val="24"/>
          <w:szCs w:val="24"/>
        </w:rPr>
        <w:t>终验</w:t>
      </w:r>
      <w:bookmarkEnd w:id="18"/>
      <w:r>
        <w:rPr>
          <w:rFonts w:hint="eastAsia" w:ascii="仿宋" w:hAnsi="仿宋" w:eastAsia="仿宋" w:cs="仿宋"/>
          <w:sz w:val="24"/>
          <w:szCs w:val="24"/>
        </w:rPr>
        <w:t>通过之日止。买卖双方约定合同产品免费包修期为</w:t>
      </w:r>
      <w:permStart w:id="42" w:edGrp="everyone"/>
      <w:r>
        <w:rPr>
          <w:rFonts w:hint="eastAsia" w:ascii="仿宋" w:hAnsi="仿宋" w:eastAsia="仿宋" w:cs="仿宋"/>
          <w:sz w:val="24"/>
          <w:szCs w:val="24"/>
        </w:rPr>
        <w:t>【】</w:t>
      </w:r>
      <w:permEnd w:id="42"/>
      <w:r>
        <w:rPr>
          <w:rFonts w:hint="eastAsia" w:ascii="仿宋" w:hAnsi="仿宋" w:eastAsia="仿宋" w:cs="仿宋"/>
          <w:sz w:val="24"/>
          <w:szCs w:val="24"/>
        </w:rPr>
        <w:t>年，自</w:t>
      </w:r>
      <w:permStart w:id="43" w:edGrp="everyone"/>
      <w:r>
        <w:rPr>
          <w:rFonts w:hint="eastAsia" w:ascii="仿宋" w:hAnsi="仿宋" w:eastAsia="仿宋" w:cs="仿宋"/>
          <w:sz w:val="24"/>
          <w:szCs w:val="24"/>
          <w:lang w:eastAsia="zh-CN"/>
        </w:rPr>
        <w:t>☑</w:t>
      </w:r>
      <w:permEnd w:id="43"/>
      <w:r>
        <w:rPr>
          <w:rFonts w:hint="eastAsia" w:ascii="仿宋" w:hAnsi="仿宋" w:eastAsia="仿宋" w:cs="仿宋"/>
          <w:sz w:val="24"/>
          <w:szCs w:val="24"/>
        </w:rPr>
        <w:t>初验/</w:t>
      </w:r>
      <w:permStart w:id="44" w:edGrp="everyone"/>
      <w:r>
        <w:rPr>
          <w:rFonts w:hint="eastAsia" w:ascii="仿宋" w:hAnsi="仿宋" w:eastAsia="仿宋" w:cs="仿宋"/>
          <w:sz w:val="24"/>
          <w:szCs w:val="24"/>
        </w:rPr>
        <w:t>□</w:t>
      </w:r>
      <w:permEnd w:id="44"/>
      <w:r>
        <w:rPr>
          <w:rFonts w:hint="eastAsia" w:ascii="仿宋" w:hAnsi="仿宋" w:eastAsia="仿宋" w:cs="仿宋"/>
          <w:sz w:val="24"/>
          <w:szCs w:val="24"/>
        </w:rPr>
        <w:t>终验通过之日起计算。</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第十一条 售后服务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lang w:val="en-US" w:eastAsia="zh-CN"/>
        </w:rPr>
        <w:t>11.1</w:t>
      </w:r>
      <w:r>
        <w:rPr>
          <w:rFonts w:hint="eastAsia" w:ascii="仿宋" w:hAnsi="仿宋" w:eastAsia="仿宋" w:cs="仿宋"/>
          <w:color w:val="000000"/>
          <w:sz w:val="24"/>
          <w:szCs w:val="24"/>
        </w:rPr>
        <w:t>售后服务团队：</w:t>
      </w:r>
      <w:r>
        <w:rPr>
          <w:rFonts w:hint="eastAsia" w:ascii="仿宋" w:hAnsi="仿宋" w:eastAsia="仿宋" w:cs="仿宋"/>
          <w:color w:val="000000"/>
          <w:sz w:val="24"/>
          <w:szCs w:val="24"/>
          <w:lang w:eastAsia="zh-CN"/>
        </w:rPr>
        <w:t>乙方</w:t>
      </w:r>
      <w:r>
        <w:rPr>
          <w:rFonts w:hint="eastAsia" w:ascii="仿宋" w:hAnsi="仿宋" w:eastAsia="仿宋" w:cs="仿宋"/>
          <w:color w:val="000000"/>
          <w:sz w:val="24"/>
          <w:szCs w:val="24"/>
        </w:rPr>
        <w:t>需在江苏地区设立专业售后服务支撑团队，</w:t>
      </w:r>
      <w:r>
        <w:rPr>
          <w:rFonts w:hint="eastAsia" w:ascii="仿宋" w:hAnsi="仿宋" w:eastAsia="仿宋" w:cs="仿宋"/>
          <w:sz w:val="24"/>
          <w:szCs w:val="24"/>
        </w:rPr>
        <w:t>且团队人数不少</w:t>
      </w:r>
      <w:r>
        <w:rPr>
          <w:rFonts w:hint="eastAsia" w:ascii="仿宋" w:hAnsi="仿宋" w:eastAsia="仿宋" w:cs="仿宋"/>
          <w:sz w:val="24"/>
          <w:szCs w:val="24"/>
          <w:lang w:val="en-US" w:eastAsia="zh-CN"/>
        </w:rPr>
        <w:t>于</w:t>
      </w:r>
      <w:permStart w:id="45" w:edGrp="everyone"/>
      <w:r>
        <w:rPr>
          <w:rFonts w:hint="eastAsia" w:ascii="仿宋" w:hAnsi="仿宋" w:eastAsia="仿宋" w:cs="仿宋"/>
          <w:sz w:val="24"/>
          <w:szCs w:val="24"/>
          <w:u w:val="single"/>
        </w:rPr>
        <w:t xml:space="preserve">   </w:t>
      </w:r>
      <w:permEnd w:id="45"/>
      <w:r>
        <w:rPr>
          <w:rFonts w:hint="eastAsia" w:ascii="仿宋" w:hAnsi="仿宋" w:eastAsia="仿宋" w:cs="仿宋"/>
          <w:sz w:val="24"/>
          <w:szCs w:val="24"/>
        </w:rPr>
        <w:t>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11.2</w:t>
      </w:r>
      <w:r>
        <w:rPr>
          <w:rFonts w:hint="eastAsia" w:ascii="仿宋" w:hAnsi="仿宋" w:eastAsia="仿宋" w:cs="仿宋"/>
          <w:color w:val="000000"/>
          <w:sz w:val="24"/>
          <w:szCs w:val="24"/>
        </w:rPr>
        <w:t>服务响应时间：</w:t>
      </w:r>
      <w:r>
        <w:rPr>
          <w:rFonts w:hint="eastAsia" w:ascii="仿宋" w:hAnsi="仿宋" w:eastAsia="仿宋" w:cs="仿宋"/>
          <w:color w:val="000000"/>
          <w:sz w:val="24"/>
          <w:szCs w:val="24"/>
          <w:lang w:eastAsia="zh-CN"/>
        </w:rPr>
        <w:t>乙方</w:t>
      </w:r>
      <w:r>
        <w:rPr>
          <w:rFonts w:hint="eastAsia" w:ascii="仿宋" w:hAnsi="仿宋" w:eastAsia="仿宋" w:cs="仿宋"/>
          <w:color w:val="000000"/>
          <w:sz w:val="24"/>
          <w:szCs w:val="24"/>
        </w:rPr>
        <w:t>提供每周7天×24小时的技术支持和服务。如果出现技术问题或故障，</w:t>
      </w:r>
      <w:r>
        <w:rPr>
          <w:rFonts w:hint="eastAsia" w:ascii="仿宋" w:hAnsi="仿宋" w:eastAsia="仿宋" w:cs="仿宋"/>
          <w:color w:val="000000"/>
          <w:sz w:val="24"/>
          <w:szCs w:val="24"/>
          <w:lang w:eastAsia="zh-CN"/>
        </w:rPr>
        <w:t>乙方</w:t>
      </w:r>
      <w:r>
        <w:rPr>
          <w:rFonts w:hint="eastAsia" w:ascii="仿宋" w:hAnsi="仿宋" w:eastAsia="仿宋" w:cs="仿宋"/>
          <w:color w:val="000000"/>
          <w:sz w:val="24"/>
          <w:szCs w:val="24"/>
        </w:rPr>
        <w:t>应按采购文件和谈判时做出的书面承诺提供相应的服务和技术支持。在接到通知后</w:t>
      </w:r>
      <w:permStart w:id="46" w:edGrp="everyone"/>
      <w:r>
        <w:rPr>
          <w:rFonts w:hint="eastAsia" w:ascii="仿宋" w:hAnsi="仿宋" w:eastAsia="仿宋" w:cs="仿宋"/>
          <w:color w:val="000000"/>
          <w:sz w:val="24"/>
          <w:szCs w:val="24"/>
        </w:rPr>
        <w:t>【】</w:t>
      </w:r>
      <w:permEnd w:id="46"/>
      <w:r>
        <w:rPr>
          <w:rFonts w:hint="eastAsia" w:ascii="仿宋" w:hAnsi="仿宋" w:eastAsia="仿宋" w:cs="仿宋"/>
          <w:color w:val="000000"/>
          <w:sz w:val="24"/>
          <w:szCs w:val="24"/>
        </w:rPr>
        <w:t>小时内应答，</w:t>
      </w:r>
      <w:permStart w:id="47" w:edGrp="everyone"/>
      <w:r>
        <w:rPr>
          <w:rFonts w:hint="eastAsia" w:ascii="仿宋" w:hAnsi="仿宋" w:eastAsia="仿宋" w:cs="仿宋"/>
          <w:color w:val="000000"/>
          <w:sz w:val="24"/>
          <w:szCs w:val="24"/>
        </w:rPr>
        <w:t>【】</w:t>
      </w:r>
      <w:permEnd w:id="47"/>
      <w:r>
        <w:rPr>
          <w:rFonts w:hint="eastAsia" w:ascii="仿宋" w:hAnsi="仿宋" w:eastAsia="仿宋" w:cs="仿宋"/>
          <w:color w:val="000000"/>
          <w:sz w:val="24"/>
          <w:szCs w:val="24"/>
        </w:rPr>
        <w:t>小时内派出代表到达现场进行处理。重大技术故障</w:t>
      </w:r>
      <w:r>
        <w:rPr>
          <w:rFonts w:hint="eastAsia" w:ascii="仿宋" w:hAnsi="仿宋" w:eastAsia="仿宋" w:cs="仿宋"/>
          <w:color w:val="000000"/>
          <w:sz w:val="24"/>
          <w:szCs w:val="24"/>
          <w:lang w:eastAsia="zh-CN"/>
        </w:rPr>
        <w:t>乙方</w:t>
      </w:r>
      <w:r>
        <w:rPr>
          <w:rFonts w:hint="eastAsia" w:ascii="仿宋" w:hAnsi="仿宋" w:eastAsia="仿宋" w:cs="仿宋"/>
          <w:color w:val="000000"/>
          <w:sz w:val="24"/>
          <w:szCs w:val="24"/>
        </w:rPr>
        <w:t>需要明确处理的时间。</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11.3</w:t>
      </w:r>
      <w:r>
        <w:rPr>
          <w:rFonts w:hint="eastAsia" w:ascii="仿宋" w:hAnsi="仿宋" w:eastAsia="仿宋" w:cs="仿宋"/>
          <w:sz w:val="24"/>
          <w:szCs w:val="24"/>
        </w:rPr>
        <w:t>培训：</w:t>
      </w:r>
      <w:r>
        <w:rPr>
          <w:rFonts w:hint="eastAsia" w:ascii="仿宋" w:hAnsi="仿宋" w:eastAsia="仿宋" w:cs="仿宋"/>
          <w:sz w:val="24"/>
          <w:szCs w:val="24"/>
          <w:lang w:eastAsia="zh-CN"/>
        </w:rPr>
        <w:t>乙方</w:t>
      </w:r>
      <w:r>
        <w:rPr>
          <w:rFonts w:hint="eastAsia" w:ascii="仿宋" w:hAnsi="仿宋" w:eastAsia="仿宋" w:cs="仿宋"/>
          <w:sz w:val="24"/>
          <w:szCs w:val="24"/>
        </w:rPr>
        <w:t>应对</w:t>
      </w:r>
      <w:r>
        <w:rPr>
          <w:rFonts w:hint="eastAsia" w:ascii="仿宋" w:hAnsi="仿宋" w:eastAsia="仿宋" w:cs="仿宋"/>
          <w:sz w:val="24"/>
          <w:szCs w:val="24"/>
          <w:lang w:eastAsia="zh-CN"/>
        </w:rPr>
        <w:t>甲方</w:t>
      </w:r>
      <w:r>
        <w:rPr>
          <w:rFonts w:hint="eastAsia" w:ascii="仿宋" w:hAnsi="仿宋" w:eastAsia="仿宋" w:cs="仿宋"/>
          <w:sz w:val="24"/>
          <w:szCs w:val="24"/>
        </w:rPr>
        <w:t>人员进行技术培训，使</w:t>
      </w:r>
      <w:r>
        <w:rPr>
          <w:rFonts w:hint="eastAsia" w:ascii="仿宋" w:hAnsi="仿宋" w:eastAsia="仿宋" w:cs="仿宋"/>
          <w:sz w:val="24"/>
          <w:szCs w:val="24"/>
          <w:lang w:eastAsia="zh-CN"/>
        </w:rPr>
        <w:t>甲方</w:t>
      </w:r>
      <w:r>
        <w:rPr>
          <w:rFonts w:hint="eastAsia" w:ascii="仿宋" w:hAnsi="仿宋" w:eastAsia="仿宋" w:cs="仿宋"/>
          <w:sz w:val="24"/>
          <w:szCs w:val="24"/>
        </w:rPr>
        <w:t>人员具备独立进行管理、维护测试和故障处理等工作的能力，以保证</w:t>
      </w:r>
      <w:r>
        <w:rPr>
          <w:rFonts w:hint="eastAsia" w:ascii="仿宋" w:hAnsi="仿宋" w:eastAsia="仿宋" w:cs="仿宋"/>
          <w:sz w:val="24"/>
          <w:szCs w:val="24"/>
          <w:lang w:eastAsia="zh-CN"/>
        </w:rPr>
        <w:t>乙方</w:t>
      </w:r>
      <w:r>
        <w:rPr>
          <w:rFonts w:hint="eastAsia" w:ascii="仿宋" w:hAnsi="仿宋" w:eastAsia="仿宋" w:cs="仿宋"/>
          <w:sz w:val="24"/>
          <w:szCs w:val="24"/>
        </w:rPr>
        <w:t>所提供的设备能够正常、安全运行。培训内容不限于软、硬件设备的相关技术原理、性能、操作使用方法、维护管理的技术、实际的操作练习等。在项目现场的培训不少于</w:t>
      </w:r>
      <w:permStart w:id="48" w:edGrp="everyone"/>
      <w:r>
        <w:rPr>
          <w:rFonts w:hint="eastAsia" w:ascii="仿宋" w:hAnsi="仿宋" w:eastAsia="仿宋" w:cs="仿宋"/>
          <w:sz w:val="24"/>
          <w:szCs w:val="24"/>
        </w:rPr>
        <w:t>【】</w:t>
      </w:r>
      <w:permEnd w:id="48"/>
      <w:r>
        <w:rPr>
          <w:rFonts w:hint="eastAsia" w:ascii="仿宋" w:hAnsi="仿宋" w:eastAsia="仿宋" w:cs="仿宋"/>
          <w:sz w:val="24"/>
          <w:szCs w:val="24"/>
        </w:rPr>
        <w:t>天，参训人员由</w:t>
      </w:r>
      <w:r>
        <w:rPr>
          <w:rFonts w:hint="eastAsia" w:ascii="仿宋" w:hAnsi="仿宋" w:eastAsia="仿宋" w:cs="仿宋"/>
          <w:sz w:val="24"/>
          <w:szCs w:val="24"/>
          <w:lang w:eastAsia="zh-CN"/>
        </w:rPr>
        <w:t>甲方</w:t>
      </w:r>
      <w:r>
        <w:rPr>
          <w:rFonts w:hint="eastAsia" w:ascii="仿宋" w:hAnsi="仿宋" w:eastAsia="仿宋" w:cs="仿宋"/>
          <w:sz w:val="24"/>
          <w:szCs w:val="24"/>
        </w:rPr>
        <w:t>指定。包括采购文件和谈判时做出的书面承诺的培训。</w:t>
      </w:r>
      <w:r>
        <w:rPr>
          <w:rFonts w:hint="eastAsia" w:ascii="仿宋" w:hAnsi="仿宋" w:eastAsia="仿宋" w:cs="仿宋"/>
          <w:sz w:val="24"/>
          <w:szCs w:val="24"/>
          <w:lang w:eastAsia="zh-CN"/>
        </w:rPr>
        <w:t>乙方</w:t>
      </w:r>
      <w:r>
        <w:rPr>
          <w:rFonts w:hint="eastAsia" w:ascii="仿宋" w:hAnsi="仿宋" w:eastAsia="仿宋" w:cs="仿宋"/>
          <w:sz w:val="24"/>
          <w:szCs w:val="24"/>
        </w:rPr>
        <w:t>另行提供的其它培训，往返路程费用、住宿及餐饮等费用由</w:t>
      </w:r>
      <w:r>
        <w:rPr>
          <w:rFonts w:hint="eastAsia" w:ascii="仿宋" w:hAnsi="仿宋" w:eastAsia="仿宋" w:cs="仿宋"/>
          <w:sz w:val="24"/>
          <w:szCs w:val="24"/>
          <w:lang w:eastAsia="zh-CN"/>
        </w:rPr>
        <w:t>乙方</w:t>
      </w:r>
      <w:r>
        <w:rPr>
          <w:rFonts w:hint="eastAsia" w:ascii="仿宋" w:hAnsi="仿宋" w:eastAsia="仿宋" w:cs="仿宋"/>
          <w:sz w:val="24"/>
          <w:szCs w:val="24"/>
        </w:rPr>
        <w:t>承担。</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11.4</w:t>
      </w:r>
      <w:r>
        <w:rPr>
          <w:rFonts w:hint="eastAsia" w:ascii="仿宋" w:hAnsi="仿宋" w:eastAsia="仿宋" w:cs="仿宋"/>
          <w:sz w:val="24"/>
          <w:szCs w:val="24"/>
        </w:rPr>
        <w:t>原厂服务：</w:t>
      </w:r>
      <w:r>
        <w:rPr>
          <w:rFonts w:hint="eastAsia" w:ascii="仿宋" w:hAnsi="仿宋" w:eastAsia="仿宋" w:cs="仿宋"/>
          <w:sz w:val="24"/>
          <w:szCs w:val="24"/>
          <w:lang w:eastAsia="zh-CN"/>
        </w:rPr>
        <w:t>乙方</w:t>
      </w:r>
      <w:r>
        <w:rPr>
          <w:rFonts w:hint="eastAsia" w:ascii="仿宋" w:hAnsi="仿宋" w:eastAsia="仿宋" w:cs="仿宋"/>
          <w:sz w:val="24"/>
          <w:szCs w:val="24"/>
        </w:rPr>
        <w:t>所提供的技术服务都由各产品制造商原厂提供，所销售的产品均已包含</w:t>
      </w:r>
      <w:permStart w:id="49" w:edGrp="everyone"/>
      <w:r>
        <w:rPr>
          <w:rFonts w:hint="eastAsia" w:ascii="仿宋" w:hAnsi="仿宋" w:eastAsia="仿宋" w:cs="仿宋"/>
          <w:sz w:val="24"/>
          <w:szCs w:val="24"/>
        </w:rPr>
        <w:t>【】</w:t>
      </w:r>
      <w:permEnd w:id="49"/>
      <w:r>
        <w:rPr>
          <w:rFonts w:hint="eastAsia" w:ascii="仿宋" w:hAnsi="仿宋" w:eastAsia="仿宋" w:cs="仿宋"/>
          <w:sz w:val="24"/>
          <w:szCs w:val="24"/>
        </w:rPr>
        <w:t>年期每周7天×24小时原厂服务。如</w:t>
      </w:r>
      <w:r>
        <w:rPr>
          <w:rFonts w:hint="eastAsia" w:ascii="仿宋" w:hAnsi="仿宋" w:eastAsia="仿宋" w:cs="仿宋"/>
          <w:sz w:val="24"/>
          <w:szCs w:val="24"/>
          <w:lang w:eastAsia="zh-CN"/>
        </w:rPr>
        <w:t>乙方</w:t>
      </w:r>
      <w:r>
        <w:rPr>
          <w:rFonts w:hint="eastAsia" w:ascii="仿宋" w:hAnsi="仿宋" w:eastAsia="仿宋" w:cs="仿宋"/>
          <w:sz w:val="24"/>
          <w:szCs w:val="24"/>
        </w:rPr>
        <w:t>停止代理销售本合同涉及的品牌产品，则</w:t>
      </w:r>
      <w:r>
        <w:rPr>
          <w:rFonts w:hint="eastAsia" w:ascii="仿宋" w:hAnsi="仿宋" w:eastAsia="仿宋" w:cs="仿宋"/>
          <w:sz w:val="24"/>
          <w:szCs w:val="24"/>
          <w:lang w:eastAsia="zh-CN"/>
        </w:rPr>
        <w:t>乙方</w:t>
      </w:r>
      <w:r>
        <w:rPr>
          <w:rFonts w:hint="eastAsia" w:ascii="仿宋" w:hAnsi="仿宋" w:eastAsia="仿宋" w:cs="仿宋"/>
          <w:sz w:val="24"/>
          <w:szCs w:val="24"/>
        </w:rPr>
        <w:t>保证由各产品制造商原厂继续提供所有的售后服务，且不免除</w:t>
      </w:r>
      <w:r>
        <w:rPr>
          <w:rFonts w:hint="eastAsia" w:ascii="仿宋" w:hAnsi="仿宋" w:eastAsia="仿宋" w:cs="仿宋"/>
          <w:sz w:val="24"/>
          <w:szCs w:val="24"/>
          <w:lang w:eastAsia="zh-CN"/>
        </w:rPr>
        <w:t>乙方</w:t>
      </w:r>
      <w:r>
        <w:rPr>
          <w:rFonts w:hint="eastAsia" w:ascii="仿宋" w:hAnsi="仿宋" w:eastAsia="仿宋" w:cs="仿宋"/>
          <w:sz w:val="24"/>
          <w:szCs w:val="24"/>
        </w:rPr>
        <w:t>对此应承担的责任。</w:t>
      </w:r>
    </w:p>
    <w:p>
      <w:pPr>
        <w:pStyle w:val="89"/>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11.5乙方应提供人员进行项目现场支撑，具体支撑要求为【（1）】：</w:t>
      </w:r>
    </w:p>
    <w:p>
      <w:pPr>
        <w:pStyle w:val="89"/>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（1）不需乙方人员现场支撑。</w:t>
      </w:r>
    </w:p>
    <w:p>
      <w:pPr>
        <w:pStyle w:val="89"/>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（2）项目上线之日起【】年内，</w:t>
      </w:r>
      <w:r>
        <w:rPr>
          <w:rFonts w:hint="eastAsia" w:ascii="仿宋" w:hAnsi="仿宋" w:eastAsia="仿宋" w:cs="仿宋"/>
          <w:color w:val="000000"/>
          <w:sz w:val="24"/>
          <w:szCs w:val="24"/>
          <w:lang w:eastAsia="zh-CN"/>
        </w:rPr>
        <w:t>乙方</w:t>
      </w:r>
      <w:r>
        <w:rPr>
          <w:rFonts w:hint="eastAsia" w:ascii="仿宋" w:hAnsi="仿宋" w:eastAsia="仿宋" w:cs="仿宋"/>
          <w:color w:val="000000"/>
          <w:sz w:val="24"/>
          <w:szCs w:val="24"/>
        </w:rPr>
        <w:t>至少有</w:t>
      </w:r>
      <w:permStart w:id="50" w:edGrp="everyone"/>
      <w:r>
        <w:rPr>
          <w:rFonts w:hint="eastAsia" w:ascii="仿宋" w:hAnsi="仿宋" w:eastAsia="仿宋" w:cs="仿宋"/>
          <w:color w:val="000000"/>
          <w:sz w:val="24"/>
          <w:szCs w:val="24"/>
        </w:rPr>
        <w:t>【】</w:t>
      </w:r>
      <w:permEnd w:id="50"/>
      <w:r>
        <w:rPr>
          <w:rFonts w:hint="eastAsia" w:ascii="仿宋" w:hAnsi="仿宋" w:eastAsia="仿宋" w:cs="仿宋"/>
          <w:color w:val="000000"/>
          <w:sz w:val="24"/>
          <w:szCs w:val="24"/>
        </w:rPr>
        <w:t>名技术人员常驻</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指定现场进行支撑，同时遵守采购人的考勤制度。</w:t>
      </w:r>
    </w:p>
    <w:p>
      <w:pPr>
        <w:pStyle w:val="89"/>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11.6</w:t>
      </w:r>
      <w:r>
        <w:rPr>
          <w:rFonts w:hint="eastAsia" w:ascii="仿宋" w:hAnsi="仿宋" w:eastAsia="仿宋" w:cs="仿宋"/>
          <w:sz w:val="24"/>
          <w:szCs w:val="24"/>
        </w:rPr>
        <w:t>采购文件中应明确指定负责本项目合格的维修保养单位，应建立相当规模的备件库以满足日常检验及应急修理的需要。</w:t>
      </w:r>
    </w:p>
    <w:p>
      <w:pPr>
        <w:pStyle w:val="89"/>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11.7</w:t>
      </w:r>
      <w:r>
        <w:rPr>
          <w:rFonts w:hint="eastAsia" w:ascii="仿宋" w:hAnsi="仿宋" w:eastAsia="仿宋" w:cs="仿宋"/>
          <w:color w:val="000000"/>
          <w:sz w:val="24"/>
          <w:szCs w:val="24"/>
        </w:rPr>
        <w:t>无论在质保期内还是在质保期后，</w:t>
      </w:r>
      <w:r>
        <w:rPr>
          <w:rFonts w:hint="eastAsia" w:ascii="仿宋" w:hAnsi="仿宋" w:eastAsia="仿宋" w:cs="仿宋"/>
          <w:color w:val="000000"/>
          <w:sz w:val="24"/>
          <w:szCs w:val="24"/>
          <w:lang w:eastAsia="zh-CN"/>
        </w:rPr>
        <w:t>乙方</w:t>
      </w:r>
      <w:r>
        <w:rPr>
          <w:rFonts w:hint="eastAsia" w:ascii="仿宋" w:hAnsi="仿宋" w:eastAsia="仿宋" w:cs="仿宋"/>
          <w:color w:val="000000"/>
          <w:sz w:val="24"/>
          <w:szCs w:val="24"/>
        </w:rPr>
        <w:t>保证系统发生故障后</w:t>
      </w:r>
      <w:permStart w:id="51" w:edGrp="everyone"/>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w:t>
      </w:r>
      <w:permEnd w:id="51"/>
      <w:r>
        <w:rPr>
          <w:rFonts w:hint="eastAsia" w:ascii="仿宋" w:hAnsi="仿宋" w:eastAsia="仿宋" w:cs="仿宋"/>
          <w:color w:val="000000"/>
          <w:sz w:val="24"/>
          <w:szCs w:val="24"/>
        </w:rPr>
        <w:t>小时内，解决系统问题。</w:t>
      </w:r>
      <w:r>
        <w:rPr>
          <w:rFonts w:hint="eastAsia" w:ascii="仿宋" w:hAnsi="仿宋" w:eastAsia="仿宋" w:cs="仿宋"/>
          <w:color w:val="000000"/>
          <w:sz w:val="24"/>
          <w:szCs w:val="24"/>
          <w:lang w:eastAsia="zh-CN"/>
        </w:rPr>
        <w:t>乙方</w:t>
      </w:r>
      <w:r>
        <w:rPr>
          <w:rFonts w:hint="eastAsia" w:ascii="仿宋" w:hAnsi="仿宋" w:eastAsia="仿宋" w:cs="仿宋"/>
          <w:color w:val="000000"/>
          <w:sz w:val="24"/>
          <w:szCs w:val="24"/>
        </w:rPr>
        <w:t>应就在施工现场进行质保期服务的情况进行记录，记载合同设备故障发生的时间、原因及解决情况等，由</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签字确认，并在质量保证期结束后提交给</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w:t>
      </w:r>
    </w:p>
    <w:p>
      <w:pPr>
        <w:pStyle w:val="89"/>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11.8</w:t>
      </w:r>
      <w:r>
        <w:rPr>
          <w:rFonts w:hint="eastAsia" w:ascii="仿宋" w:hAnsi="仿宋" w:eastAsia="仿宋" w:cs="仿宋"/>
          <w:sz w:val="24"/>
          <w:szCs w:val="24"/>
        </w:rPr>
        <w:t>如果在系统发生故障后，</w:t>
      </w:r>
      <w:r>
        <w:rPr>
          <w:rFonts w:hint="eastAsia" w:ascii="仿宋" w:hAnsi="仿宋" w:eastAsia="仿宋" w:cs="仿宋"/>
          <w:sz w:val="24"/>
          <w:szCs w:val="24"/>
          <w:lang w:eastAsia="zh-CN"/>
        </w:rPr>
        <w:t>乙方</w:t>
      </w:r>
      <w:r>
        <w:rPr>
          <w:rFonts w:hint="eastAsia" w:ascii="仿宋" w:hAnsi="仿宋" w:eastAsia="仿宋" w:cs="仿宋"/>
          <w:sz w:val="24"/>
          <w:szCs w:val="24"/>
        </w:rPr>
        <w:t>未能按照要求时间排除系统故障，</w:t>
      </w:r>
      <w:r>
        <w:rPr>
          <w:rFonts w:hint="eastAsia" w:ascii="仿宋" w:hAnsi="仿宋" w:eastAsia="仿宋" w:cs="仿宋"/>
          <w:sz w:val="24"/>
          <w:szCs w:val="24"/>
          <w:lang w:eastAsia="zh-CN"/>
        </w:rPr>
        <w:t>甲方</w:t>
      </w:r>
      <w:r>
        <w:rPr>
          <w:rFonts w:hint="eastAsia" w:ascii="仿宋" w:hAnsi="仿宋" w:eastAsia="仿宋" w:cs="仿宋"/>
          <w:sz w:val="24"/>
          <w:szCs w:val="24"/>
        </w:rPr>
        <w:t>有权请第三方解决问题，由此产生的费用由</w:t>
      </w:r>
      <w:r>
        <w:rPr>
          <w:rFonts w:hint="eastAsia" w:ascii="仿宋" w:hAnsi="仿宋" w:eastAsia="仿宋" w:cs="仿宋"/>
          <w:sz w:val="24"/>
          <w:szCs w:val="24"/>
          <w:lang w:eastAsia="zh-CN"/>
        </w:rPr>
        <w:t>乙方</w:t>
      </w:r>
      <w:r>
        <w:rPr>
          <w:rFonts w:hint="eastAsia" w:ascii="仿宋" w:hAnsi="仿宋" w:eastAsia="仿宋" w:cs="仿宋"/>
          <w:sz w:val="24"/>
          <w:szCs w:val="24"/>
        </w:rPr>
        <w:t>承担。造成</w:t>
      </w:r>
      <w:r>
        <w:rPr>
          <w:rFonts w:hint="eastAsia" w:ascii="仿宋" w:hAnsi="仿宋" w:eastAsia="仿宋" w:cs="仿宋"/>
          <w:sz w:val="24"/>
          <w:szCs w:val="24"/>
          <w:lang w:eastAsia="zh-CN"/>
        </w:rPr>
        <w:t>甲方</w:t>
      </w:r>
      <w:r>
        <w:rPr>
          <w:rFonts w:hint="eastAsia" w:ascii="仿宋" w:hAnsi="仿宋" w:eastAsia="仿宋" w:cs="仿宋"/>
          <w:sz w:val="24"/>
          <w:szCs w:val="24"/>
        </w:rPr>
        <w:t>业务损失的，由</w:t>
      </w:r>
      <w:r>
        <w:rPr>
          <w:rFonts w:hint="eastAsia" w:ascii="仿宋" w:hAnsi="仿宋" w:eastAsia="仿宋" w:cs="仿宋"/>
          <w:sz w:val="24"/>
          <w:szCs w:val="24"/>
          <w:lang w:eastAsia="zh-CN"/>
        </w:rPr>
        <w:t>乙方</w:t>
      </w:r>
      <w:r>
        <w:rPr>
          <w:rFonts w:hint="eastAsia" w:ascii="仿宋" w:hAnsi="仿宋" w:eastAsia="仿宋" w:cs="仿宋"/>
          <w:sz w:val="24"/>
          <w:szCs w:val="24"/>
        </w:rPr>
        <w:t>承担相应责任。</w:t>
      </w:r>
    </w:p>
    <w:p>
      <w:pPr>
        <w:pStyle w:val="89"/>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11.9</w:t>
      </w:r>
      <w:r>
        <w:rPr>
          <w:rFonts w:hint="eastAsia" w:ascii="仿宋" w:hAnsi="仿宋" w:eastAsia="仿宋" w:cs="仿宋"/>
          <w:sz w:val="24"/>
          <w:szCs w:val="24"/>
        </w:rPr>
        <w:t>在质保期内，</w:t>
      </w:r>
      <w:r>
        <w:rPr>
          <w:rFonts w:hint="eastAsia" w:ascii="仿宋" w:hAnsi="仿宋" w:eastAsia="仿宋" w:cs="仿宋"/>
          <w:sz w:val="24"/>
          <w:szCs w:val="24"/>
          <w:lang w:eastAsia="zh-CN"/>
        </w:rPr>
        <w:t>甲方</w:t>
      </w:r>
      <w:r>
        <w:rPr>
          <w:rFonts w:hint="eastAsia" w:ascii="仿宋" w:hAnsi="仿宋" w:eastAsia="仿宋" w:cs="仿宋"/>
          <w:sz w:val="24"/>
          <w:szCs w:val="24"/>
        </w:rPr>
        <w:t>在使用成交设备中不论何种原因造成的故障，</w:t>
      </w:r>
      <w:r>
        <w:rPr>
          <w:rFonts w:hint="eastAsia" w:ascii="仿宋" w:hAnsi="仿宋" w:eastAsia="仿宋" w:cs="仿宋"/>
          <w:sz w:val="24"/>
          <w:szCs w:val="24"/>
          <w:lang w:eastAsia="zh-CN"/>
        </w:rPr>
        <w:t>乙方</w:t>
      </w:r>
      <w:r>
        <w:rPr>
          <w:rFonts w:hint="eastAsia" w:ascii="仿宋" w:hAnsi="仿宋" w:eastAsia="仿宋" w:cs="仿宋"/>
          <w:sz w:val="24"/>
          <w:szCs w:val="24"/>
        </w:rPr>
        <w:t>在接到</w:t>
      </w:r>
      <w:r>
        <w:rPr>
          <w:rFonts w:hint="eastAsia" w:ascii="仿宋" w:hAnsi="仿宋" w:eastAsia="仿宋" w:cs="仿宋"/>
          <w:sz w:val="24"/>
          <w:szCs w:val="24"/>
          <w:lang w:eastAsia="zh-CN"/>
        </w:rPr>
        <w:t>甲方</w:t>
      </w:r>
      <w:r>
        <w:rPr>
          <w:rFonts w:hint="eastAsia" w:ascii="仿宋" w:hAnsi="仿宋" w:eastAsia="仿宋" w:cs="仿宋"/>
          <w:sz w:val="24"/>
          <w:szCs w:val="24"/>
        </w:rPr>
        <w:t>要求修复的电话或书面通知后：</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乙方</w:t>
      </w:r>
      <w:r>
        <w:rPr>
          <w:rFonts w:hint="eastAsia" w:ascii="仿宋" w:hAnsi="仿宋" w:eastAsia="仿宋" w:cs="仿宋"/>
          <w:sz w:val="24"/>
          <w:szCs w:val="24"/>
        </w:rPr>
        <w:t>保证立即响应并至少通过电话做远程诊断，尝试排除故障或进行紧急处理。</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乙方</w:t>
      </w:r>
      <w:r>
        <w:rPr>
          <w:rFonts w:hint="eastAsia" w:ascii="仿宋" w:hAnsi="仿宋" w:eastAsia="仿宋" w:cs="仿宋"/>
          <w:sz w:val="24"/>
          <w:szCs w:val="24"/>
        </w:rPr>
        <w:t>保证提供完善的备件支持服务，用以保障</w:t>
      </w:r>
      <w:r>
        <w:rPr>
          <w:rFonts w:hint="eastAsia" w:ascii="仿宋" w:hAnsi="仿宋" w:eastAsia="仿宋" w:cs="仿宋"/>
          <w:sz w:val="24"/>
          <w:szCs w:val="24"/>
          <w:lang w:eastAsia="zh-CN"/>
        </w:rPr>
        <w:t>甲方</w:t>
      </w:r>
      <w:r>
        <w:rPr>
          <w:rFonts w:hint="eastAsia" w:ascii="仿宋" w:hAnsi="仿宋" w:eastAsia="仿宋" w:cs="仿宋"/>
          <w:sz w:val="24"/>
          <w:szCs w:val="24"/>
        </w:rPr>
        <w:t>应急替换。若某部件发生故障，</w:t>
      </w:r>
      <w:r>
        <w:rPr>
          <w:rFonts w:hint="eastAsia" w:ascii="仿宋" w:hAnsi="仿宋" w:eastAsia="仿宋" w:cs="仿宋"/>
          <w:sz w:val="24"/>
          <w:szCs w:val="24"/>
          <w:lang w:eastAsia="zh-CN"/>
        </w:rPr>
        <w:t>乙方</w:t>
      </w:r>
      <w:r>
        <w:rPr>
          <w:rFonts w:hint="eastAsia" w:ascii="仿宋" w:hAnsi="仿宋" w:eastAsia="仿宋" w:cs="仿宋"/>
          <w:sz w:val="24"/>
          <w:szCs w:val="24"/>
        </w:rPr>
        <w:t>承诺在</w:t>
      </w:r>
      <w:permStart w:id="52" w:edGrp="everyone"/>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w:t>
      </w:r>
      <w:permEnd w:id="52"/>
      <w:r>
        <w:rPr>
          <w:rFonts w:hint="eastAsia" w:ascii="仿宋" w:hAnsi="仿宋" w:eastAsia="仿宋" w:cs="仿宋"/>
          <w:sz w:val="24"/>
          <w:szCs w:val="24"/>
        </w:rPr>
        <w:t>小时内为</w:t>
      </w:r>
      <w:r>
        <w:rPr>
          <w:rFonts w:hint="eastAsia" w:ascii="仿宋" w:hAnsi="仿宋" w:eastAsia="仿宋" w:cs="仿宋"/>
          <w:sz w:val="24"/>
          <w:szCs w:val="24"/>
          <w:lang w:eastAsia="zh-CN"/>
        </w:rPr>
        <w:t>甲方</w:t>
      </w:r>
      <w:r>
        <w:rPr>
          <w:rFonts w:hint="eastAsia" w:ascii="仿宋" w:hAnsi="仿宋" w:eastAsia="仿宋" w:cs="仿宋"/>
          <w:sz w:val="24"/>
          <w:szCs w:val="24"/>
        </w:rPr>
        <w:t>替换部件。</w:t>
      </w:r>
    </w:p>
    <w:p>
      <w:pPr>
        <w:pStyle w:val="89"/>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10</w:t>
      </w:r>
      <w:r>
        <w:rPr>
          <w:rFonts w:hint="eastAsia" w:ascii="仿宋" w:hAnsi="仿宋" w:eastAsia="仿宋" w:cs="仿宋"/>
          <w:sz w:val="24"/>
          <w:szCs w:val="24"/>
        </w:rPr>
        <w:t>质保期后：如设备出现故障，</w:t>
      </w:r>
      <w:r>
        <w:rPr>
          <w:rFonts w:hint="eastAsia" w:ascii="仿宋" w:hAnsi="仿宋" w:eastAsia="仿宋" w:cs="仿宋"/>
          <w:sz w:val="24"/>
          <w:szCs w:val="24"/>
          <w:lang w:eastAsia="zh-CN"/>
        </w:rPr>
        <w:t>乙方</w:t>
      </w:r>
      <w:r>
        <w:rPr>
          <w:rFonts w:hint="eastAsia" w:ascii="仿宋" w:hAnsi="仿宋" w:eastAsia="仿宋" w:cs="仿宋"/>
          <w:sz w:val="24"/>
          <w:szCs w:val="24"/>
        </w:rPr>
        <w:t>应负责及时维修，若维修时间超过</w:t>
      </w:r>
      <w:permStart w:id="53" w:edGrp="everyone"/>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w:t>
      </w:r>
      <w:permEnd w:id="53"/>
      <w:r>
        <w:rPr>
          <w:rFonts w:hint="eastAsia" w:ascii="仿宋" w:hAnsi="仿宋" w:eastAsia="仿宋" w:cs="仿宋"/>
          <w:sz w:val="24"/>
          <w:szCs w:val="24"/>
        </w:rPr>
        <w:t>个月，</w:t>
      </w:r>
      <w:r>
        <w:rPr>
          <w:rFonts w:hint="eastAsia" w:ascii="仿宋" w:hAnsi="仿宋" w:eastAsia="仿宋" w:cs="仿宋"/>
          <w:sz w:val="24"/>
          <w:szCs w:val="24"/>
          <w:lang w:eastAsia="zh-CN"/>
        </w:rPr>
        <w:t>乙方</w:t>
      </w:r>
      <w:r>
        <w:rPr>
          <w:rFonts w:hint="eastAsia" w:ascii="仿宋" w:hAnsi="仿宋" w:eastAsia="仿宋" w:cs="仿宋"/>
          <w:sz w:val="24"/>
          <w:szCs w:val="24"/>
        </w:rPr>
        <w:t>应负责免费提供代替设备，保证系统正常运行。</w:t>
      </w:r>
    </w:p>
    <w:p>
      <w:pPr>
        <w:pStyle w:val="89"/>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11.12</w:t>
      </w:r>
      <w:r>
        <w:rPr>
          <w:rFonts w:hint="eastAsia" w:ascii="仿宋" w:hAnsi="仿宋" w:eastAsia="仿宋" w:cs="仿宋"/>
          <w:sz w:val="24"/>
          <w:szCs w:val="24"/>
        </w:rPr>
        <w:t>在双方商定的一定期限内对</w:t>
      </w:r>
      <w:r>
        <w:rPr>
          <w:rFonts w:hint="eastAsia" w:ascii="仿宋" w:hAnsi="仿宋" w:eastAsia="仿宋" w:cs="仿宋"/>
          <w:sz w:val="24"/>
          <w:szCs w:val="24"/>
          <w:lang w:eastAsia="zh-CN"/>
        </w:rPr>
        <w:t>乙方</w:t>
      </w:r>
      <w:r>
        <w:rPr>
          <w:rFonts w:hint="eastAsia" w:ascii="仿宋" w:hAnsi="仿宋" w:eastAsia="仿宋" w:cs="仿宋"/>
          <w:sz w:val="24"/>
          <w:szCs w:val="24"/>
        </w:rPr>
        <w:t>所供货物实施运行维护及修理，但前提条件是该服务并不能免除</w:t>
      </w:r>
      <w:r>
        <w:rPr>
          <w:rFonts w:hint="eastAsia" w:ascii="仿宋" w:hAnsi="仿宋" w:eastAsia="仿宋" w:cs="仿宋"/>
          <w:sz w:val="24"/>
          <w:szCs w:val="24"/>
          <w:lang w:eastAsia="zh-CN"/>
        </w:rPr>
        <w:t>乙方</w:t>
      </w:r>
      <w:r>
        <w:rPr>
          <w:rFonts w:hint="eastAsia" w:ascii="仿宋" w:hAnsi="仿宋" w:eastAsia="仿宋" w:cs="仿宋"/>
          <w:sz w:val="24"/>
          <w:szCs w:val="24"/>
        </w:rPr>
        <w:t>在合同有效期内所承担的义务。</w:t>
      </w:r>
    </w:p>
    <w:p>
      <w:pPr>
        <w:pStyle w:val="89"/>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11.13</w:t>
      </w:r>
      <w:r>
        <w:rPr>
          <w:rFonts w:hint="eastAsia" w:ascii="仿宋" w:hAnsi="仿宋" w:eastAsia="仿宋" w:cs="仿宋"/>
          <w:sz w:val="24"/>
          <w:szCs w:val="24"/>
        </w:rPr>
        <w:t>及时提供合同货物使用和维护方面的最新技术信息和资料。</w:t>
      </w:r>
    </w:p>
    <w:p>
      <w:pPr>
        <w:pStyle w:val="89"/>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11.14</w:t>
      </w:r>
      <w:r>
        <w:rPr>
          <w:rFonts w:hint="eastAsia" w:ascii="仿宋" w:hAnsi="仿宋" w:eastAsia="仿宋" w:cs="仿宋"/>
          <w:sz w:val="24"/>
          <w:szCs w:val="24"/>
          <w:lang w:eastAsia="zh-CN"/>
        </w:rPr>
        <w:t>乙方</w:t>
      </w:r>
      <w:r>
        <w:rPr>
          <w:rFonts w:hint="eastAsia" w:ascii="仿宋" w:hAnsi="仿宋" w:eastAsia="仿宋" w:cs="仿宋"/>
          <w:sz w:val="24"/>
          <w:szCs w:val="24"/>
        </w:rPr>
        <w:t>在</w:t>
      </w:r>
      <w:r>
        <w:rPr>
          <w:rFonts w:hint="eastAsia" w:ascii="仿宋" w:hAnsi="仿宋" w:eastAsia="仿宋" w:cs="仿宋"/>
          <w:sz w:val="24"/>
          <w:szCs w:val="24"/>
          <w:lang w:eastAsia="zh-CN"/>
        </w:rPr>
        <w:t>甲方</w:t>
      </w:r>
      <w:r>
        <w:rPr>
          <w:rFonts w:hint="eastAsia" w:ascii="仿宋" w:hAnsi="仿宋" w:eastAsia="仿宋" w:cs="仿宋"/>
          <w:sz w:val="24"/>
          <w:szCs w:val="24"/>
        </w:rPr>
        <w:t>人工地安装、调试期间，一切费用由</w:t>
      </w:r>
      <w:r>
        <w:rPr>
          <w:rFonts w:hint="eastAsia" w:ascii="仿宋" w:hAnsi="仿宋" w:eastAsia="仿宋" w:cs="仿宋"/>
          <w:sz w:val="24"/>
          <w:szCs w:val="24"/>
          <w:lang w:eastAsia="zh-CN"/>
        </w:rPr>
        <w:t>乙方</w:t>
      </w:r>
      <w:r>
        <w:rPr>
          <w:rFonts w:hint="eastAsia" w:ascii="仿宋" w:hAnsi="仿宋" w:eastAsia="仿宋" w:cs="仿宋"/>
          <w:sz w:val="24"/>
          <w:szCs w:val="24"/>
        </w:rPr>
        <w:t>自理。</w:t>
      </w:r>
    </w:p>
    <w:p>
      <w:pPr>
        <w:pStyle w:val="89"/>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11.15</w:t>
      </w:r>
      <w:r>
        <w:rPr>
          <w:rFonts w:hint="eastAsia" w:ascii="仿宋" w:hAnsi="仿宋" w:eastAsia="仿宋" w:cs="仿宋"/>
          <w:sz w:val="24"/>
          <w:szCs w:val="24"/>
          <w:lang w:eastAsia="zh-CN"/>
        </w:rPr>
        <w:t>乙方</w:t>
      </w:r>
      <w:r>
        <w:rPr>
          <w:rFonts w:hint="eastAsia" w:ascii="仿宋" w:hAnsi="仿宋" w:eastAsia="仿宋" w:cs="仿宋"/>
          <w:sz w:val="24"/>
          <w:szCs w:val="24"/>
        </w:rPr>
        <w:t>所供货物要求实行终身维保；</w:t>
      </w:r>
      <w:r>
        <w:rPr>
          <w:rFonts w:hint="eastAsia" w:ascii="仿宋" w:hAnsi="仿宋" w:eastAsia="仿宋" w:cs="仿宋"/>
          <w:sz w:val="24"/>
          <w:szCs w:val="24"/>
          <w:lang w:eastAsia="zh-CN"/>
        </w:rPr>
        <w:t>乙方</w:t>
      </w:r>
      <w:r>
        <w:rPr>
          <w:rFonts w:hint="eastAsia" w:ascii="仿宋" w:hAnsi="仿宋" w:eastAsia="仿宋" w:cs="仿宋"/>
          <w:sz w:val="24"/>
          <w:szCs w:val="24"/>
        </w:rPr>
        <w:t>应提供货物最低使用年限，在此期间内，不应发生非人为操作原因的重大故障，否则</w:t>
      </w:r>
      <w:r>
        <w:rPr>
          <w:rFonts w:hint="eastAsia" w:ascii="仿宋" w:hAnsi="仿宋" w:eastAsia="仿宋" w:cs="仿宋"/>
          <w:sz w:val="24"/>
          <w:szCs w:val="24"/>
          <w:lang w:eastAsia="zh-CN"/>
        </w:rPr>
        <w:t>甲方</w:t>
      </w:r>
      <w:r>
        <w:rPr>
          <w:rFonts w:hint="eastAsia" w:ascii="仿宋" w:hAnsi="仿宋" w:eastAsia="仿宋" w:cs="仿宋"/>
          <w:sz w:val="24"/>
          <w:szCs w:val="24"/>
        </w:rPr>
        <w:t>有权追溯</w:t>
      </w:r>
      <w:r>
        <w:rPr>
          <w:rFonts w:hint="eastAsia" w:ascii="仿宋" w:hAnsi="仿宋" w:eastAsia="仿宋" w:cs="仿宋"/>
          <w:sz w:val="24"/>
          <w:szCs w:val="24"/>
          <w:lang w:eastAsia="zh-CN"/>
        </w:rPr>
        <w:t>乙方</w:t>
      </w:r>
      <w:r>
        <w:rPr>
          <w:rFonts w:hint="eastAsia" w:ascii="仿宋" w:hAnsi="仿宋" w:eastAsia="仿宋" w:cs="仿宋"/>
          <w:sz w:val="24"/>
          <w:szCs w:val="24"/>
        </w:rPr>
        <w:t>的责任。</w:t>
      </w:r>
    </w:p>
    <w:p>
      <w:pPr>
        <w:pStyle w:val="89"/>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11.16</w:t>
      </w:r>
      <w:r>
        <w:rPr>
          <w:rFonts w:hint="eastAsia" w:ascii="仿宋" w:hAnsi="仿宋" w:eastAsia="仿宋" w:cs="仿宋"/>
          <w:sz w:val="24"/>
          <w:szCs w:val="24"/>
        </w:rPr>
        <w:t>如果在合同设备设计使用寿命期内发生合同项下备品备件停止生产的情况，</w:t>
      </w:r>
      <w:r>
        <w:rPr>
          <w:rFonts w:hint="eastAsia" w:ascii="仿宋" w:hAnsi="仿宋" w:eastAsia="仿宋" w:cs="仿宋"/>
          <w:sz w:val="24"/>
          <w:szCs w:val="24"/>
          <w:lang w:eastAsia="zh-CN"/>
        </w:rPr>
        <w:t>乙方</w:t>
      </w:r>
      <w:r>
        <w:rPr>
          <w:rFonts w:hint="eastAsia" w:ascii="仿宋" w:hAnsi="仿宋" w:eastAsia="仿宋" w:cs="仿宋"/>
          <w:sz w:val="24"/>
          <w:szCs w:val="24"/>
        </w:rPr>
        <w:t>应事先将拟停止生产的计划通知</w:t>
      </w:r>
      <w:r>
        <w:rPr>
          <w:rFonts w:hint="eastAsia" w:ascii="仿宋" w:hAnsi="仿宋" w:eastAsia="仿宋" w:cs="仿宋"/>
          <w:sz w:val="24"/>
          <w:szCs w:val="24"/>
          <w:lang w:eastAsia="zh-CN"/>
        </w:rPr>
        <w:t>甲方</w:t>
      </w:r>
      <w:r>
        <w:rPr>
          <w:rFonts w:hint="eastAsia" w:ascii="仿宋" w:hAnsi="仿宋" w:eastAsia="仿宋" w:cs="仿宋"/>
          <w:sz w:val="24"/>
          <w:szCs w:val="24"/>
        </w:rPr>
        <w:t>，使</w:t>
      </w:r>
      <w:r>
        <w:rPr>
          <w:rFonts w:hint="eastAsia" w:ascii="仿宋" w:hAnsi="仿宋" w:eastAsia="仿宋" w:cs="仿宋"/>
          <w:sz w:val="24"/>
          <w:szCs w:val="24"/>
          <w:lang w:eastAsia="zh-CN"/>
        </w:rPr>
        <w:t>甲方</w:t>
      </w:r>
      <w:r>
        <w:rPr>
          <w:rFonts w:hint="eastAsia" w:ascii="仿宋" w:hAnsi="仿宋" w:eastAsia="仿宋" w:cs="仿宋"/>
          <w:sz w:val="24"/>
          <w:szCs w:val="24"/>
        </w:rPr>
        <w:t>有足够的时间考虑备品备件的需求量。根据</w:t>
      </w:r>
      <w:r>
        <w:rPr>
          <w:rFonts w:hint="eastAsia" w:ascii="仿宋" w:hAnsi="仿宋" w:eastAsia="仿宋" w:cs="仿宋"/>
          <w:sz w:val="24"/>
          <w:szCs w:val="24"/>
          <w:lang w:eastAsia="zh-CN"/>
        </w:rPr>
        <w:t>甲方</w:t>
      </w:r>
      <w:r>
        <w:rPr>
          <w:rFonts w:hint="eastAsia" w:ascii="仿宋" w:hAnsi="仿宋" w:eastAsia="仿宋" w:cs="仿宋"/>
          <w:sz w:val="24"/>
          <w:szCs w:val="24"/>
        </w:rPr>
        <w:t>要求，</w:t>
      </w:r>
      <w:r>
        <w:rPr>
          <w:rFonts w:hint="eastAsia" w:ascii="仿宋" w:hAnsi="仿宋" w:eastAsia="仿宋" w:cs="仿宋"/>
          <w:sz w:val="24"/>
          <w:szCs w:val="24"/>
          <w:lang w:eastAsia="zh-CN"/>
        </w:rPr>
        <w:t>乙方</w:t>
      </w:r>
      <w:r>
        <w:rPr>
          <w:rFonts w:hint="eastAsia" w:ascii="仿宋" w:hAnsi="仿宋" w:eastAsia="仿宋" w:cs="仿宋"/>
          <w:sz w:val="24"/>
          <w:szCs w:val="24"/>
        </w:rPr>
        <w:t>应：</w:t>
      </w:r>
    </w:p>
    <w:p>
      <w:pPr>
        <w:pStyle w:val="89"/>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（1）以不高于同期市场价格或其向任何第三方销售同类产品的价格提供合同设备正常运行所需的全部备品备件。或</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（2）免费提供可供</w:t>
      </w:r>
      <w:r>
        <w:rPr>
          <w:rFonts w:hint="eastAsia" w:ascii="仿宋" w:hAnsi="仿宋" w:eastAsia="仿宋" w:cs="仿宋"/>
          <w:sz w:val="24"/>
          <w:szCs w:val="24"/>
          <w:lang w:eastAsia="zh-CN"/>
        </w:rPr>
        <w:t>甲方</w:t>
      </w:r>
      <w:r>
        <w:rPr>
          <w:rFonts w:hint="eastAsia" w:ascii="仿宋" w:hAnsi="仿宋" w:eastAsia="仿宋" w:cs="仿宋"/>
          <w:sz w:val="24"/>
          <w:szCs w:val="24"/>
        </w:rPr>
        <w:t>或第三方制造停产备品备件所需的全部技术资料，以便</w:t>
      </w:r>
      <w:r>
        <w:rPr>
          <w:rFonts w:hint="eastAsia" w:ascii="仿宋" w:hAnsi="仿宋" w:eastAsia="仿宋" w:cs="仿宋"/>
          <w:sz w:val="24"/>
          <w:szCs w:val="24"/>
          <w:lang w:eastAsia="zh-CN"/>
        </w:rPr>
        <w:t>甲方</w:t>
      </w:r>
      <w:r>
        <w:rPr>
          <w:rFonts w:hint="eastAsia" w:ascii="仿宋" w:hAnsi="仿宋" w:eastAsia="仿宋" w:cs="仿宋"/>
          <w:sz w:val="24"/>
          <w:szCs w:val="24"/>
        </w:rPr>
        <w:t>持续获得上述备品备件以满足合同设备在寿命期内正常运行的需要。</w:t>
      </w:r>
      <w:r>
        <w:rPr>
          <w:rFonts w:hint="eastAsia" w:ascii="仿宋" w:hAnsi="仿宋" w:eastAsia="仿宋" w:cs="仿宋"/>
          <w:sz w:val="24"/>
          <w:szCs w:val="24"/>
          <w:lang w:eastAsia="zh-CN"/>
        </w:rPr>
        <w:t>乙方</w:t>
      </w:r>
      <w:r>
        <w:rPr>
          <w:rFonts w:hint="eastAsia" w:ascii="仿宋" w:hAnsi="仿宋" w:eastAsia="仿宋" w:cs="仿宋"/>
          <w:sz w:val="24"/>
          <w:szCs w:val="24"/>
        </w:rPr>
        <w:t>保证</w:t>
      </w:r>
      <w:r>
        <w:rPr>
          <w:rFonts w:hint="eastAsia" w:ascii="仿宋" w:hAnsi="仿宋" w:eastAsia="仿宋" w:cs="仿宋"/>
          <w:sz w:val="24"/>
          <w:szCs w:val="24"/>
          <w:lang w:eastAsia="zh-CN"/>
        </w:rPr>
        <w:t>甲方</w:t>
      </w:r>
      <w:r>
        <w:rPr>
          <w:rFonts w:hint="eastAsia" w:ascii="仿宋" w:hAnsi="仿宋" w:eastAsia="仿宋" w:cs="仿宋"/>
          <w:sz w:val="24"/>
          <w:szCs w:val="24"/>
        </w:rPr>
        <w:t>或</w:t>
      </w:r>
      <w:r>
        <w:rPr>
          <w:rFonts w:hint="eastAsia" w:ascii="仿宋" w:hAnsi="仿宋" w:eastAsia="仿宋" w:cs="仿宋"/>
          <w:sz w:val="24"/>
          <w:szCs w:val="24"/>
          <w:lang w:eastAsia="zh-CN"/>
        </w:rPr>
        <w:t>甲方</w:t>
      </w:r>
      <w:r>
        <w:rPr>
          <w:rFonts w:hint="eastAsia" w:ascii="仿宋" w:hAnsi="仿宋" w:eastAsia="仿宋" w:cs="仿宋"/>
          <w:sz w:val="24"/>
          <w:szCs w:val="24"/>
        </w:rPr>
        <w:t>委托的第三方制造及</w:t>
      </w:r>
      <w:r>
        <w:rPr>
          <w:rFonts w:hint="eastAsia" w:ascii="仿宋" w:hAnsi="仿宋" w:eastAsia="仿宋" w:cs="仿宋"/>
          <w:sz w:val="24"/>
          <w:szCs w:val="24"/>
          <w:lang w:eastAsia="zh-CN"/>
        </w:rPr>
        <w:t>甲方</w:t>
      </w:r>
      <w:r>
        <w:rPr>
          <w:rFonts w:hint="eastAsia" w:ascii="仿宋" w:hAnsi="仿宋" w:eastAsia="仿宋" w:cs="仿宋"/>
          <w:sz w:val="24"/>
          <w:szCs w:val="24"/>
        </w:rPr>
        <w:t>使用这些备品备件不侵犯任何人的知识产权。</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第十二条 技术支持</w:t>
      </w:r>
    </w:p>
    <w:p>
      <w:pPr>
        <w:pStyle w:val="89"/>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12.1</w:t>
      </w:r>
      <w:r>
        <w:rPr>
          <w:rFonts w:hint="eastAsia" w:ascii="仿宋" w:hAnsi="仿宋" w:eastAsia="仿宋" w:cs="仿宋"/>
          <w:sz w:val="24"/>
          <w:szCs w:val="24"/>
          <w:lang w:eastAsia="zh-CN"/>
        </w:rPr>
        <w:t>乙方</w:t>
      </w:r>
      <w:r>
        <w:rPr>
          <w:rFonts w:hint="eastAsia" w:ascii="仿宋" w:hAnsi="仿宋" w:eastAsia="仿宋" w:cs="仿宋"/>
          <w:sz w:val="24"/>
          <w:szCs w:val="24"/>
        </w:rPr>
        <w:t>需提供设备的全套技术文件。文档内容须覆盖</w:t>
      </w:r>
      <w:r>
        <w:rPr>
          <w:rFonts w:hint="eastAsia" w:ascii="仿宋" w:hAnsi="仿宋" w:eastAsia="仿宋" w:cs="仿宋"/>
          <w:sz w:val="24"/>
          <w:szCs w:val="24"/>
          <w:lang w:eastAsia="zh-CN"/>
        </w:rPr>
        <w:t>甲方</w:t>
      </w:r>
      <w:r>
        <w:rPr>
          <w:rFonts w:hint="eastAsia" w:ascii="仿宋" w:hAnsi="仿宋" w:eastAsia="仿宋" w:cs="仿宋"/>
          <w:sz w:val="24"/>
          <w:szCs w:val="24"/>
        </w:rPr>
        <w:t>所提供软件功能使用及管理应用。如</w:t>
      </w:r>
      <w:r>
        <w:rPr>
          <w:rFonts w:hint="eastAsia" w:ascii="仿宋" w:hAnsi="仿宋" w:eastAsia="仿宋" w:cs="仿宋"/>
          <w:sz w:val="24"/>
          <w:szCs w:val="24"/>
          <w:lang w:eastAsia="zh-CN"/>
        </w:rPr>
        <w:t>乙方</w:t>
      </w:r>
      <w:r>
        <w:rPr>
          <w:rFonts w:hint="eastAsia" w:ascii="仿宋" w:hAnsi="仿宋" w:eastAsia="仿宋" w:cs="仿宋"/>
          <w:sz w:val="24"/>
          <w:szCs w:val="24"/>
        </w:rPr>
        <w:t>提供的项目/软件文档错误或不达要求，须无条件根据</w:t>
      </w:r>
      <w:r>
        <w:rPr>
          <w:rFonts w:hint="eastAsia" w:ascii="仿宋" w:hAnsi="仿宋" w:eastAsia="仿宋" w:cs="仿宋"/>
          <w:sz w:val="24"/>
          <w:szCs w:val="24"/>
          <w:lang w:eastAsia="zh-CN"/>
        </w:rPr>
        <w:t>甲方</w:t>
      </w:r>
      <w:r>
        <w:rPr>
          <w:rFonts w:hint="eastAsia" w:ascii="仿宋" w:hAnsi="仿宋" w:eastAsia="仿宋" w:cs="仿宋"/>
          <w:sz w:val="24"/>
          <w:szCs w:val="24"/>
        </w:rPr>
        <w:t>提出细化要求予以补充或修订。文档资料包含但不限于以下内容：</w:t>
      </w:r>
    </w:p>
    <w:p>
      <w:pPr>
        <w:keepNext w:val="0"/>
        <w:keepLines w:val="0"/>
        <w:pageBreakBefore w:val="0"/>
        <w:widowControl w:val="0"/>
        <w:numPr>
          <w:ilvl w:val="0"/>
          <w:numId w:val="0"/>
        </w:numPr>
        <w:tabs>
          <w:tab w:val="left" w:pos="857"/>
        </w:tabs>
        <w:kinsoku/>
        <w:wordWrap/>
        <w:overflowPunct/>
        <w:topLinePunct w:val="0"/>
        <w:autoSpaceDE/>
        <w:autoSpaceDN/>
        <w:bidi w:val="0"/>
        <w:adjustRightInd/>
        <w:snapToGrid w:val="0"/>
        <w:spacing w:line="240" w:lineRule="auto"/>
        <w:ind w:lef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系统需求分析文档。</w:t>
      </w:r>
    </w:p>
    <w:p>
      <w:pPr>
        <w:keepNext w:val="0"/>
        <w:keepLines w:val="0"/>
        <w:pageBreakBefore w:val="0"/>
        <w:widowControl w:val="0"/>
        <w:numPr>
          <w:ilvl w:val="0"/>
          <w:numId w:val="0"/>
        </w:numPr>
        <w:tabs>
          <w:tab w:val="left" w:pos="857"/>
        </w:tabs>
        <w:kinsoku/>
        <w:wordWrap/>
        <w:overflowPunct/>
        <w:topLinePunct w:val="0"/>
        <w:autoSpaceDE/>
        <w:autoSpaceDN/>
        <w:bidi w:val="0"/>
        <w:adjustRightInd/>
        <w:snapToGrid w:val="0"/>
        <w:spacing w:line="240" w:lineRule="auto"/>
        <w:ind w:lef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系统设计说明书，包含软件结构图、部署视图、系统接口调用视图、各类设计的详细说明等。</w:t>
      </w:r>
    </w:p>
    <w:p>
      <w:pPr>
        <w:keepNext w:val="0"/>
        <w:keepLines w:val="0"/>
        <w:pageBreakBefore w:val="0"/>
        <w:widowControl w:val="0"/>
        <w:numPr>
          <w:ilvl w:val="0"/>
          <w:numId w:val="0"/>
        </w:numPr>
        <w:tabs>
          <w:tab w:val="left" w:pos="857"/>
        </w:tabs>
        <w:kinsoku/>
        <w:wordWrap/>
        <w:overflowPunct/>
        <w:topLinePunct w:val="0"/>
        <w:autoSpaceDE/>
        <w:autoSpaceDN/>
        <w:bidi w:val="0"/>
        <w:adjustRightInd/>
        <w:snapToGrid w:val="0"/>
        <w:spacing w:line="240" w:lineRule="auto"/>
        <w:ind w:lef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数据结构和数据字典说明。</w:t>
      </w:r>
    </w:p>
    <w:p>
      <w:pPr>
        <w:keepNext w:val="0"/>
        <w:keepLines w:val="0"/>
        <w:pageBreakBefore w:val="0"/>
        <w:widowControl w:val="0"/>
        <w:numPr>
          <w:ilvl w:val="0"/>
          <w:numId w:val="0"/>
        </w:numPr>
        <w:tabs>
          <w:tab w:val="left" w:pos="857"/>
        </w:tabs>
        <w:kinsoku/>
        <w:wordWrap/>
        <w:overflowPunct/>
        <w:topLinePunct w:val="0"/>
        <w:autoSpaceDE/>
        <w:autoSpaceDN/>
        <w:bidi w:val="0"/>
        <w:adjustRightInd/>
        <w:snapToGrid w:val="0"/>
        <w:spacing w:line="240" w:lineRule="auto"/>
        <w:ind w:lef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用户操作手册，包含系统所有功能、页面、关键页面信息项的操作指引及信息说明等。</w:t>
      </w:r>
    </w:p>
    <w:p>
      <w:pPr>
        <w:keepNext w:val="0"/>
        <w:keepLines w:val="0"/>
        <w:pageBreakBefore w:val="0"/>
        <w:widowControl w:val="0"/>
        <w:numPr>
          <w:ilvl w:val="0"/>
          <w:numId w:val="0"/>
        </w:numPr>
        <w:tabs>
          <w:tab w:val="left" w:pos="857"/>
        </w:tabs>
        <w:kinsoku/>
        <w:wordWrap/>
        <w:overflowPunct/>
        <w:topLinePunct w:val="0"/>
        <w:autoSpaceDE/>
        <w:autoSpaceDN/>
        <w:bidi w:val="0"/>
        <w:adjustRightInd/>
        <w:snapToGrid w:val="0"/>
        <w:spacing w:line="240" w:lineRule="auto"/>
        <w:ind w:lef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系统运行维护手册，包含系统的安装、升级、迁移、维护等方面内容的说明。</w:t>
      </w:r>
    </w:p>
    <w:p>
      <w:pPr>
        <w:keepNext w:val="0"/>
        <w:keepLines w:val="0"/>
        <w:pageBreakBefore w:val="0"/>
        <w:widowControl w:val="0"/>
        <w:numPr>
          <w:ilvl w:val="0"/>
          <w:numId w:val="0"/>
        </w:numPr>
        <w:tabs>
          <w:tab w:val="left" w:pos="857"/>
        </w:tabs>
        <w:kinsoku/>
        <w:wordWrap/>
        <w:overflowPunct/>
        <w:topLinePunct w:val="0"/>
        <w:autoSpaceDE/>
        <w:autoSpaceDN/>
        <w:bidi w:val="0"/>
        <w:adjustRightInd/>
        <w:snapToGrid w:val="0"/>
        <w:spacing w:line="24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系统接口手册，包含系统提供或定制开发的接口类库、说明、示例代码等。</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第十三条 技术升级和优惠条件</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13.1</w:t>
      </w:r>
      <w:r>
        <w:rPr>
          <w:rFonts w:hint="eastAsia" w:ascii="仿宋" w:hAnsi="仿宋" w:eastAsia="仿宋" w:cs="仿宋"/>
          <w:sz w:val="24"/>
          <w:szCs w:val="24"/>
          <w:lang w:eastAsia="zh-CN"/>
        </w:rPr>
        <w:t>乙方</w:t>
      </w:r>
      <w:r>
        <w:rPr>
          <w:rFonts w:hint="eastAsia" w:ascii="仿宋" w:hAnsi="仿宋" w:eastAsia="仿宋" w:cs="仿宋"/>
          <w:sz w:val="24"/>
          <w:szCs w:val="24"/>
        </w:rPr>
        <w:t>对所供硬件在设备寿命期内提供免费的软件升级服务（包括设备模板），并在升级后为</w:t>
      </w:r>
      <w:r>
        <w:rPr>
          <w:rFonts w:hint="eastAsia" w:ascii="仿宋" w:hAnsi="仿宋" w:eastAsia="仿宋" w:cs="仿宋"/>
          <w:sz w:val="24"/>
          <w:szCs w:val="24"/>
          <w:lang w:eastAsia="zh-CN"/>
        </w:rPr>
        <w:t>甲方</w:t>
      </w:r>
      <w:r>
        <w:rPr>
          <w:rFonts w:hint="eastAsia" w:ascii="仿宋" w:hAnsi="仿宋" w:eastAsia="仿宋" w:cs="仿宋"/>
          <w:sz w:val="24"/>
          <w:szCs w:val="24"/>
        </w:rPr>
        <w:t>提供免费的培训。</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13.2</w:t>
      </w:r>
      <w:r>
        <w:rPr>
          <w:rFonts w:hint="eastAsia" w:ascii="仿宋" w:hAnsi="仿宋" w:eastAsia="仿宋" w:cs="仿宋"/>
          <w:sz w:val="24"/>
          <w:szCs w:val="24"/>
          <w:lang w:eastAsia="zh-CN"/>
        </w:rPr>
        <w:t>乙方</w:t>
      </w:r>
      <w:r>
        <w:rPr>
          <w:rFonts w:hint="eastAsia" w:ascii="仿宋" w:hAnsi="仿宋" w:eastAsia="仿宋" w:cs="仿宋"/>
          <w:sz w:val="24"/>
          <w:szCs w:val="24"/>
        </w:rPr>
        <w:t>承诺升级后的软件没有版权及权属争议等其它问题，并且保证到下次升级时可正常使用。</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13.3</w:t>
      </w:r>
      <w:r>
        <w:rPr>
          <w:rFonts w:hint="eastAsia" w:ascii="仿宋" w:hAnsi="仿宋" w:eastAsia="仿宋" w:cs="仿宋"/>
          <w:sz w:val="24"/>
          <w:szCs w:val="24"/>
        </w:rPr>
        <w:t>本次合同范围，对于系统今后新增设备和软件的所有集成，</w:t>
      </w:r>
      <w:r>
        <w:rPr>
          <w:rFonts w:hint="eastAsia" w:ascii="仿宋" w:hAnsi="仿宋" w:eastAsia="仿宋" w:cs="仿宋"/>
          <w:sz w:val="24"/>
          <w:szCs w:val="24"/>
          <w:lang w:eastAsia="zh-CN"/>
        </w:rPr>
        <w:t>乙方</w:t>
      </w:r>
      <w:r>
        <w:rPr>
          <w:rFonts w:hint="eastAsia" w:ascii="仿宋" w:hAnsi="仿宋" w:eastAsia="仿宋" w:cs="仿宋"/>
          <w:sz w:val="24"/>
          <w:szCs w:val="24"/>
        </w:rPr>
        <w:t>全部免收集成费。</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13.4</w:t>
      </w:r>
      <w:r>
        <w:rPr>
          <w:rFonts w:hint="eastAsia" w:ascii="仿宋" w:hAnsi="仿宋" w:eastAsia="仿宋" w:cs="仿宋"/>
          <w:sz w:val="24"/>
          <w:szCs w:val="24"/>
          <w:lang w:eastAsia="zh-CN"/>
        </w:rPr>
        <w:t>甲方</w:t>
      </w:r>
      <w:r>
        <w:rPr>
          <w:rFonts w:hint="eastAsia" w:ascii="仿宋" w:hAnsi="仿宋" w:eastAsia="仿宋" w:cs="仿宋"/>
          <w:sz w:val="24"/>
          <w:szCs w:val="24"/>
        </w:rPr>
        <w:t>扩充设备时，</w:t>
      </w:r>
      <w:r>
        <w:rPr>
          <w:rFonts w:hint="eastAsia" w:ascii="仿宋" w:hAnsi="仿宋" w:eastAsia="仿宋" w:cs="仿宋"/>
          <w:sz w:val="24"/>
          <w:szCs w:val="24"/>
          <w:lang w:eastAsia="zh-CN"/>
        </w:rPr>
        <w:t>乙方</w:t>
      </w:r>
      <w:r>
        <w:rPr>
          <w:rFonts w:hint="eastAsia" w:ascii="仿宋" w:hAnsi="仿宋" w:eastAsia="仿宋" w:cs="仿宋"/>
          <w:sz w:val="24"/>
          <w:szCs w:val="24"/>
        </w:rPr>
        <w:t>提供的设备、配件、软件及相关服务等报价应不高于本项目的成交价格、折扣，且不高于当时市场价格。</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第十四条 培训</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14.1</w:t>
      </w:r>
      <w:r>
        <w:rPr>
          <w:rFonts w:hint="eastAsia" w:ascii="仿宋" w:hAnsi="仿宋" w:eastAsia="仿宋" w:cs="仿宋"/>
          <w:sz w:val="24"/>
          <w:szCs w:val="24"/>
          <w:lang w:eastAsia="zh-CN"/>
        </w:rPr>
        <w:t>乙方</w:t>
      </w:r>
      <w:r>
        <w:rPr>
          <w:rFonts w:hint="eastAsia" w:ascii="仿宋" w:hAnsi="仿宋" w:eastAsia="仿宋" w:cs="仿宋"/>
          <w:sz w:val="24"/>
          <w:szCs w:val="24"/>
        </w:rPr>
        <w:t>在进行系统安装、调试过程中，应在每一个施工现场免费提供不少于</w:t>
      </w:r>
      <w:permStart w:id="54" w:edGrp="everyone"/>
      <w:r>
        <w:rPr>
          <w:rFonts w:hint="eastAsia" w:ascii="仿宋" w:hAnsi="仿宋" w:eastAsia="仿宋" w:cs="仿宋"/>
          <w:sz w:val="24"/>
          <w:szCs w:val="24"/>
        </w:rPr>
        <w:t>【】</w:t>
      </w:r>
      <w:permEnd w:id="54"/>
      <w:r>
        <w:rPr>
          <w:rFonts w:hint="eastAsia" w:ascii="仿宋" w:hAnsi="仿宋" w:eastAsia="仿宋" w:cs="仿宋"/>
          <w:sz w:val="24"/>
          <w:szCs w:val="24"/>
        </w:rPr>
        <w:t>天专项现场培训。</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14.2</w:t>
      </w:r>
      <w:r>
        <w:rPr>
          <w:rFonts w:hint="eastAsia" w:ascii="仿宋" w:hAnsi="仿宋" w:eastAsia="仿宋" w:cs="仿宋"/>
          <w:sz w:val="24"/>
          <w:szCs w:val="24"/>
          <w:lang w:eastAsia="zh-CN"/>
        </w:rPr>
        <w:t>乙方</w:t>
      </w:r>
      <w:r>
        <w:rPr>
          <w:rFonts w:hint="eastAsia" w:ascii="仿宋" w:hAnsi="仿宋" w:eastAsia="仿宋" w:cs="仿宋"/>
          <w:sz w:val="24"/>
          <w:szCs w:val="24"/>
        </w:rPr>
        <w:t>应提供免费不少于</w:t>
      </w:r>
      <w:permStart w:id="55" w:edGrp="everyone"/>
      <w:r>
        <w:rPr>
          <w:rFonts w:hint="eastAsia" w:ascii="仿宋" w:hAnsi="仿宋" w:eastAsia="仿宋" w:cs="仿宋"/>
          <w:sz w:val="24"/>
          <w:szCs w:val="24"/>
        </w:rPr>
        <w:t>【】</w:t>
      </w:r>
      <w:permEnd w:id="55"/>
      <w:r>
        <w:rPr>
          <w:rFonts w:hint="eastAsia" w:ascii="仿宋" w:hAnsi="仿宋" w:eastAsia="仿宋" w:cs="仿宋"/>
          <w:sz w:val="24"/>
          <w:szCs w:val="24"/>
        </w:rPr>
        <w:t>次集中培训，并提供相应讲师以及培训计划。</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第十五条 技术和资料的保密事项</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15.1</w:t>
      </w:r>
      <w:r>
        <w:rPr>
          <w:rFonts w:hint="eastAsia" w:ascii="仿宋" w:hAnsi="仿宋" w:eastAsia="仿宋" w:cs="仿宋"/>
          <w:sz w:val="24"/>
          <w:szCs w:val="24"/>
        </w:rPr>
        <w:t>买卖双方同意，在任何时候，不论是合同有效期内还是合同终止以后，对任何一方提供的秘密信息或双方共有的秘密信息均实行严格保密。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w:t>
      </w:r>
      <w:r>
        <w:rPr>
          <w:rFonts w:hint="eastAsia" w:ascii="仿宋" w:hAnsi="仿宋" w:eastAsia="仿宋" w:cs="仿宋"/>
          <w:sz w:val="24"/>
          <w:szCs w:val="24"/>
          <w:lang w:eastAsia="zh-CN"/>
        </w:rPr>
        <w:t>甲方</w:t>
      </w:r>
      <w:r>
        <w:rPr>
          <w:rFonts w:hint="eastAsia" w:ascii="仿宋" w:hAnsi="仿宋" w:eastAsia="仿宋" w:cs="仿宋"/>
          <w:sz w:val="24"/>
          <w:szCs w:val="24"/>
        </w:rPr>
        <w:t>在未得到</w:t>
      </w:r>
      <w:r>
        <w:rPr>
          <w:rFonts w:hint="eastAsia" w:ascii="仿宋" w:hAnsi="仿宋" w:eastAsia="仿宋" w:cs="仿宋"/>
          <w:sz w:val="24"/>
          <w:szCs w:val="24"/>
          <w:lang w:eastAsia="zh-CN"/>
        </w:rPr>
        <w:t>乙方</w:t>
      </w:r>
      <w:r>
        <w:rPr>
          <w:rFonts w:hint="eastAsia" w:ascii="仿宋" w:hAnsi="仿宋" w:eastAsia="仿宋" w:cs="仿宋"/>
          <w:sz w:val="24"/>
          <w:szCs w:val="24"/>
        </w:rPr>
        <w:t>许可前提下，不得向任何第三方透露</w:t>
      </w:r>
      <w:r>
        <w:rPr>
          <w:rFonts w:hint="eastAsia" w:ascii="仿宋" w:hAnsi="仿宋" w:eastAsia="仿宋" w:cs="仿宋"/>
          <w:sz w:val="24"/>
          <w:szCs w:val="24"/>
          <w:lang w:eastAsia="zh-CN"/>
        </w:rPr>
        <w:t>乙方</w:t>
      </w:r>
      <w:r>
        <w:rPr>
          <w:rFonts w:hint="eastAsia" w:ascii="仿宋" w:hAnsi="仿宋" w:eastAsia="仿宋" w:cs="仿宋"/>
          <w:sz w:val="24"/>
          <w:szCs w:val="24"/>
        </w:rPr>
        <w:t>提供的软件及所附全部文档和资料的商业秘密和技术秘密。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15.3</w:t>
      </w:r>
      <w:r>
        <w:rPr>
          <w:rFonts w:hint="eastAsia" w:ascii="仿宋" w:hAnsi="仿宋" w:eastAsia="仿宋" w:cs="仿宋"/>
          <w:sz w:val="24"/>
          <w:szCs w:val="24"/>
          <w:lang w:eastAsia="zh-CN"/>
        </w:rPr>
        <w:t>乙方</w:t>
      </w:r>
      <w:r>
        <w:rPr>
          <w:rFonts w:hint="eastAsia" w:ascii="仿宋" w:hAnsi="仿宋" w:eastAsia="仿宋" w:cs="仿宋"/>
          <w:sz w:val="24"/>
          <w:szCs w:val="24"/>
        </w:rPr>
        <w:t>有责任对技术开发中涉及的</w:t>
      </w:r>
      <w:r>
        <w:rPr>
          <w:rFonts w:hint="eastAsia" w:ascii="仿宋" w:hAnsi="仿宋" w:eastAsia="仿宋" w:cs="仿宋"/>
          <w:sz w:val="24"/>
          <w:szCs w:val="24"/>
          <w:lang w:eastAsia="zh-CN"/>
        </w:rPr>
        <w:t>甲方</w:t>
      </w:r>
      <w:r>
        <w:rPr>
          <w:rFonts w:hint="eastAsia" w:ascii="仿宋" w:hAnsi="仿宋" w:eastAsia="仿宋" w:cs="仿宋"/>
          <w:sz w:val="24"/>
          <w:szCs w:val="24"/>
        </w:rPr>
        <w:t>商业情报、技术情报及相关文档资料保密。未得到</w:t>
      </w:r>
      <w:r>
        <w:rPr>
          <w:rFonts w:hint="eastAsia" w:ascii="仿宋" w:hAnsi="仿宋" w:eastAsia="仿宋" w:cs="仿宋"/>
          <w:sz w:val="24"/>
          <w:szCs w:val="24"/>
          <w:lang w:eastAsia="zh-CN"/>
        </w:rPr>
        <w:t>甲方</w:t>
      </w:r>
      <w:r>
        <w:rPr>
          <w:rFonts w:hint="eastAsia" w:ascii="仿宋" w:hAnsi="仿宋" w:eastAsia="仿宋" w:cs="仿宋"/>
          <w:sz w:val="24"/>
          <w:szCs w:val="24"/>
        </w:rPr>
        <w:t>书面许可前提下，不得向任何第三方透露软件开发或使用过程中所涉及的</w:t>
      </w:r>
      <w:r>
        <w:rPr>
          <w:rFonts w:hint="eastAsia" w:ascii="仿宋" w:hAnsi="仿宋" w:eastAsia="仿宋" w:cs="仿宋"/>
          <w:sz w:val="24"/>
          <w:szCs w:val="24"/>
          <w:lang w:eastAsia="zh-CN"/>
        </w:rPr>
        <w:t>甲方</w:t>
      </w:r>
      <w:r>
        <w:rPr>
          <w:rFonts w:hint="eastAsia" w:ascii="仿宋" w:hAnsi="仿宋" w:eastAsia="仿宋" w:cs="仿宋"/>
          <w:sz w:val="24"/>
          <w:szCs w:val="24"/>
        </w:rPr>
        <w:t>的商业秘密和技术秘密。</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第十六条 双方责任</w:t>
      </w:r>
    </w:p>
    <w:p>
      <w:pPr>
        <w:keepNext w:val="0"/>
        <w:keepLines w:val="0"/>
        <w:pageBreakBefore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bCs w:val="0"/>
          <w:sz w:val="24"/>
          <w:szCs w:val="24"/>
          <w:lang w:val="en-US" w:eastAsia="zh-CN"/>
        </w:rPr>
        <w:t>16.1</w:t>
      </w:r>
      <w:r>
        <w:rPr>
          <w:rFonts w:hint="eastAsia" w:ascii="仿宋" w:hAnsi="仿宋" w:eastAsia="仿宋" w:cs="仿宋"/>
          <w:b w:val="0"/>
          <w:bCs w:val="0"/>
          <w:sz w:val="24"/>
          <w:szCs w:val="24"/>
          <w:lang w:eastAsia="zh-CN"/>
        </w:rPr>
        <w:t>甲方</w:t>
      </w:r>
      <w:r>
        <w:rPr>
          <w:rFonts w:hint="eastAsia" w:ascii="仿宋" w:hAnsi="仿宋" w:eastAsia="仿宋" w:cs="仿宋"/>
          <w:b w:val="0"/>
          <w:bCs w:val="0"/>
          <w:sz w:val="24"/>
          <w:szCs w:val="24"/>
        </w:rPr>
        <w:t>责任</w:t>
      </w:r>
      <w:r>
        <w:rPr>
          <w:rFonts w:hint="eastAsia" w:ascii="仿宋" w:hAnsi="仿宋" w:eastAsia="仿宋" w:cs="仿宋"/>
          <w:b w:val="0"/>
          <w:bCs w:val="0"/>
          <w:sz w:val="24"/>
          <w:szCs w:val="24"/>
          <w:lang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）甲方</w:t>
      </w:r>
      <w:r>
        <w:rPr>
          <w:rFonts w:hint="eastAsia" w:ascii="仿宋" w:hAnsi="仿宋" w:eastAsia="仿宋" w:cs="仿宋"/>
          <w:sz w:val="24"/>
          <w:szCs w:val="24"/>
        </w:rPr>
        <w:t>需为</w:t>
      </w:r>
      <w:r>
        <w:rPr>
          <w:rFonts w:hint="eastAsia" w:ascii="仿宋" w:hAnsi="仿宋" w:eastAsia="仿宋" w:cs="仿宋"/>
          <w:sz w:val="24"/>
          <w:szCs w:val="24"/>
          <w:lang w:eastAsia="zh-CN"/>
        </w:rPr>
        <w:t>乙方</w:t>
      </w:r>
      <w:r>
        <w:rPr>
          <w:rFonts w:hint="eastAsia" w:ascii="仿宋" w:hAnsi="仿宋" w:eastAsia="仿宋" w:cs="仿宋"/>
          <w:sz w:val="24"/>
          <w:szCs w:val="24"/>
        </w:rPr>
        <w:t>提供项目实施便利，积极配合</w:t>
      </w:r>
      <w:r>
        <w:rPr>
          <w:rFonts w:hint="eastAsia" w:ascii="仿宋" w:hAnsi="仿宋" w:eastAsia="仿宋" w:cs="仿宋"/>
          <w:sz w:val="24"/>
          <w:szCs w:val="24"/>
          <w:lang w:eastAsia="zh-CN"/>
        </w:rPr>
        <w:t>乙方</w:t>
      </w:r>
      <w:r>
        <w:rPr>
          <w:rFonts w:hint="eastAsia" w:ascii="仿宋" w:hAnsi="仿宋" w:eastAsia="仿宋" w:cs="仿宋"/>
          <w:sz w:val="24"/>
          <w:szCs w:val="24"/>
        </w:rPr>
        <w:t>进行项目实施安装及调试。</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）甲方</w:t>
      </w:r>
      <w:r>
        <w:rPr>
          <w:rFonts w:hint="eastAsia" w:ascii="仿宋" w:hAnsi="仿宋" w:eastAsia="仿宋" w:cs="仿宋"/>
          <w:sz w:val="24"/>
          <w:szCs w:val="24"/>
        </w:rPr>
        <w:t>需为</w:t>
      </w:r>
      <w:r>
        <w:rPr>
          <w:rFonts w:hint="eastAsia" w:ascii="仿宋" w:hAnsi="仿宋" w:eastAsia="仿宋" w:cs="仿宋"/>
          <w:sz w:val="24"/>
          <w:szCs w:val="24"/>
          <w:lang w:eastAsia="zh-CN"/>
        </w:rPr>
        <w:t>乙方</w:t>
      </w:r>
      <w:r>
        <w:rPr>
          <w:rFonts w:hint="eastAsia" w:ascii="仿宋" w:hAnsi="仿宋" w:eastAsia="仿宋" w:cs="仿宋"/>
          <w:sz w:val="24"/>
          <w:szCs w:val="24"/>
        </w:rPr>
        <w:t>协调各方关系提供便利。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）甲方</w:t>
      </w:r>
      <w:r>
        <w:rPr>
          <w:rFonts w:hint="eastAsia" w:ascii="仿宋" w:hAnsi="仿宋" w:eastAsia="仿宋" w:cs="仿宋"/>
          <w:sz w:val="24"/>
          <w:szCs w:val="24"/>
        </w:rPr>
        <w:t>应指派管理人员、技术人员参加项目系统安装、系统测试和其它工作。</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因</w:t>
      </w:r>
      <w:r>
        <w:rPr>
          <w:rFonts w:hint="eastAsia" w:ascii="仿宋" w:hAnsi="仿宋" w:eastAsia="仿宋" w:cs="仿宋"/>
          <w:sz w:val="24"/>
          <w:szCs w:val="24"/>
          <w:lang w:eastAsia="zh-CN"/>
        </w:rPr>
        <w:t>乙方</w:t>
      </w:r>
      <w:r>
        <w:rPr>
          <w:rFonts w:hint="eastAsia" w:ascii="仿宋" w:hAnsi="仿宋" w:eastAsia="仿宋" w:cs="仿宋"/>
          <w:sz w:val="24"/>
          <w:szCs w:val="24"/>
        </w:rPr>
        <w:t>未按合同质量或要求交付产品，</w:t>
      </w:r>
      <w:r>
        <w:rPr>
          <w:rFonts w:hint="eastAsia" w:ascii="仿宋" w:hAnsi="仿宋" w:eastAsia="仿宋" w:cs="仿宋"/>
          <w:sz w:val="24"/>
          <w:szCs w:val="24"/>
          <w:lang w:eastAsia="zh-CN"/>
        </w:rPr>
        <w:t>甲方</w:t>
      </w:r>
      <w:r>
        <w:rPr>
          <w:rFonts w:hint="eastAsia" w:ascii="仿宋" w:hAnsi="仿宋" w:eastAsia="仿宋" w:cs="仿宋"/>
          <w:sz w:val="24"/>
          <w:szCs w:val="24"/>
        </w:rPr>
        <w:t>有权拒收，</w:t>
      </w:r>
      <w:r>
        <w:rPr>
          <w:rFonts w:hint="eastAsia" w:ascii="仿宋" w:hAnsi="仿宋" w:eastAsia="仿宋" w:cs="仿宋"/>
          <w:sz w:val="24"/>
          <w:szCs w:val="24"/>
          <w:lang w:eastAsia="zh-CN"/>
        </w:rPr>
        <w:t>甲方</w:t>
      </w:r>
      <w:r>
        <w:rPr>
          <w:rFonts w:hint="eastAsia" w:ascii="仿宋" w:hAnsi="仿宋" w:eastAsia="仿宋" w:cs="仿宋"/>
          <w:sz w:val="24"/>
          <w:szCs w:val="24"/>
        </w:rPr>
        <w:t>的该项权利不因产品在启运前通过</w:t>
      </w:r>
      <w:r>
        <w:rPr>
          <w:rFonts w:hint="eastAsia" w:ascii="仿宋" w:hAnsi="仿宋" w:eastAsia="仿宋" w:cs="仿宋"/>
          <w:sz w:val="24"/>
          <w:szCs w:val="24"/>
          <w:lang w:eastAsia="zh-CN"/>
        </w:rPr>
        <w:t>甲方</w:t>
      </w:r>
      <w:r>
        <w:rPr>
          <w:rFonts w:hint="eastAsia" w:ascii="仿宋" w:hAnsi="仿宋" w:eastAsia="仿宋" w:cs="仿宋"/>
          <w:sz w:val="24"/>
          <w:szCs w:val="24"/>
        </w:rPr>
        <w:t>的验收而受到任何限制或影响。</w:t>
      </w:r>
    </w:p>
    <w:p>
      <w:pPr>
        <w:keepNext w:val="0"/>
        <w:keepLines w:val="0"/>
        <w:pageBreakBefore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16.2</w:t>
      </w:r>
      <w:r>
        <w:rPr>
          <w:rFonts w:hint="eastAsia" w:ascii="仿宋" w:hAnsi="仿宋" w:eastAsia="仿宋" w:cs="仿宋"/>
          <w:b w:val="0"/>
          <w:bCs w:val="0"/>
          <w:sz w:val="24"/>
          <w:szCs w:val="24"/>
          <w:lang w:eastAsia="zh-CN"/>
        </w:rPr>
        <w:t>乙方</w:t>
      </w:r>
      <w:r>
        <w:rPr>
          <w:rFonts w:hint="eastAsia" w:ascii="仿宋" w:hAnsi="仿宋" w:eastAsia="仿宋" w:cs="仿宋"/>
          <w:b w:val="0"/>
          <w:bCs w:val="0"/>
          <w:sz w:val="24"/>
          <w:szCs w:val="24"/>
        </w:rPr>
        <w:t>责任</w:t>
      </w:r>
      <w:r>
        <w:rPr>
          <w:rFonts w:hint="eastAsia" w:ascii="仿宋" w:hAnsi="仿宋" w:eastAsia="仿宋" w:cs="仿宋"/>
          <w:b w:val="0"/>
          <w:bCs w:val="0"/>
          <w:sz w:val="24"/>
          <w:szCs w:val="24"/>
          <w:lang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）乙方</w:t>
      </w:r>
      <w:r>
        <w:rPr>
          <w:rFonts w:hint="eastAsia" w:ascii="仿宋" w:hAnsi="仿宋" w:eastAsia="仿宋" w:cs="仿宋"/>
          <w:sz w:val="24"/>
          <w:szCs w:val="24"/>
        </w:rPr>
        <w:t>承诺：除采购文件及后续书面承诺标明的偏离外，</w:t>
      </w:r>
      <w:r>
        <w:rPr>
          <w:rFonts w:hint="eastAsia" w:ascii="仿宋" w:hAnsi="仿宋" w:eastAsia="仿宋" w:cs="仿宋"/>
          <w:sz w:val="24"/>
          <w:szCs w:val="24"/>
          <w:lang w:eastAsia="zh-CN"/>
        </w:rPr>
        <w:t>乙方</w:t>
      </w:r>
      <w:r>
        <w:rPr>
          <w:rFonts w:hint="eastAsia" w:ascii="仿宋" w:hAnsi="仿宋" w:eastAsia="仿宋" w:cs="仿宋"/>
          <w:sz w:val="24"/>
          <w:szCs w:val="24"/>
        </w:rPr>
        <w:t>提供的产品和服务均满足采购文件要求。</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）乙方</w:t>
      </w:r>
      <w:r>
        <w:rPr>
          <w:rFonts w:hint="eastAsia" w:ascii="仿宋" w:hAnsi="仿宋" w:eastAsia="仿宋" w:cs="仿宋"/>
          <w:sz w:val="24"/>
          <w:szCs w:val="24"/>
        </w:rPr>
        <w:t>应按照采购文件、后续书面承诺的技术要求以及买卖双方协定补充文件，提供合格的产品，并保证通过</w:t>
      </w:r>
      <w:r>
        <w:rPr>
          <w:rFonts w:hint="eastAsia" w:ascii="仿宋" w:hAnsi="仿宋" w:eastAsia="仿宋" w:cs="仿宋"/>
          <w:sz w:val="24"/>
          <w:szCs w:val="24"/>
          <w:lang w:eastAsia="zh-CN"/>
        </w:rPr>
        <w:t>甲方</w:t>
      </w:r>
      <w:r>
        <w:rPr>
          <w:rFonts w:hint="eastAsia" w:ascii="仿宋" w:hAnsi="仿宋" w:eastAsia="仿宋" w:cs="仿宋"/>
          <w:sz w:val="24"/>
          <w:szCs w:val="24"/>
        </w:rPr>
        <w:t>的验收。</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在系统安装、调试、开发过程中，</w:t>
      </w:r>
      <w:r>
        <w:rPr>
          <w:rFonts w:hint="eastAsia" w:ascii="仿宋" w:hAnsi="仿宋" w:eastAsia="仿宋" w:cs="仿宋"/>
          <w:sz w:val="24"/>
          <w:szCs w:val="24"/>
          <w:lang w:eastAsia="zh-CN"/>
        </w:rPr>
        <w:t>乙方</w:t>
      </w:r>
      <w:r>
        <w:rPr>
          <w:rFonts w:hint="eastAsia" w:ascii="仿宋" w:hAnsi="仿宋" w:eastAsia="仿宋" w:cs="仿宋"/>
          <w:sz w:val="24"/>
          <w:szCs w:val="24"/>
        </w:rPr>
        <w:t>须保证不影响</w:t>
      </w:r>
      <w:r>
        <w:rPr>
          <w:rFonts w:hint="eastAsia" w:ascii="仿宋" w:hAnsi="仿宋" w:eastAsia="仿宋" w:cs="仿宋"/>
          <w:sz w:val="24"/>
          <w:szCs w:val="24"/>
          <w:lang w:eastAsia="zh-CN"/>
        </w:rPr>
        <w:t>甲方</w:t>
      </w:r>
      <w:r>
        <w:rPr>
          <w:rFonts w:hint="eastAsia" w:ascii="仿宋" w:hAnsi="仿宋" w:eastAsia="仿宋" w:cs="仿宋"/>
          <w:sz w:val="24"/>
          <w:szCs w:val="24"/>
        </w:rPr>
        <w:t>现有系统的正常运行和现有业务的正常发展。</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）乙方</w:t>
      </w:r>
      <w:r>
        <w:rPr>
          <w:rFonts w:hint="eastAsia" w:ascii="仿宋" w:hAnsi="仿宋" w:eastAsia="仿宋" w:cs="仿宋"/>
          <w:sz w:val="24"/>
          <w:szCs w:val="24"/>
        </w:rPr>
        <w:t>保证在系统安装、调试、开发过程中不非法使用第三方软件，任何第三方不会因</w:t>
      </w:r>
      <w:r>
        <w:rPr>
          <w:rFonts w:hint="eastAsia" w:ascii="仿宋" w:hAnsi="仿宋" w:eastAsia="仿宋" w:cs="仿宋"/>
          <w:sz w:val="24"/>
          <w:szCs w:val="24"/>
          <w:lang w:eastAsia="zh-CN"/>
        </w:rPr>
        <w:t>乙方</w:t>
      </w:r>
      <w:r>
        <w:rPr>
          <w:rFonts w:hint="eastAsia" w:ascii="仿宋" w:hAnsi="仿宋" w:eastAsia="仿宋" w:cs="仿宋"/>
          <w:sz w:val="24"/>
          <w:szCs w:val="24"/>
        </w:rPr>
        <w:t>原因而基于所有权、抵押权、留置权或其他任何权利或事由对合同设备主张权利。否则由此产生的纠纷由</w:t>
      </w:r>
      <w:r>
        <w:rPr>
          <w:rFonts w:hint="eastAsia" w:ascii="仿宋" w:hAnsi="仿宋" w:eastAsia="仿宋" w:cs="仿宋"/>
          <w:sz w:val="24"/>
          <w:szCs w:val="24"/>
          <w:lang w:eastAsia="zh-CN"/>
        </w:rPr>
        <w:t>乙方</w:t>
      </w:r>
      <w:r>
        <w:rPr>
          <w:rFonts w:hint="eastAsia" w:ascii="仿宋" w:hAnsi="仿宋" w:eastAsia="仿宋" w:cs="仿宋"/>
          <w:sz w:val="24"/>
          <w:szCs w:val="24"/>
        </w:rPr>
        <w:t>承担。</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）乙方</w:t>
      </w:r>
      <w:r>
        <w:rPr>
          <w:rFonts w:hint="eastAsia" w:ascii="仿宋" w:hAnsi="仿宋" w:eastAsia="仿宋" w:cs="仿宋"/>
          <w:sz w:val="24"/>
          <w:szCs w:val="24"/>
        </w:rPr>
        <w:t>在产品安装、调试、开发过程中须派驻足够的有经验的工程技术人员到施工现场进行安装指导，应遵守</w:t>
      </w:r>
      <w:r>
        <w:rPr>
          <w:rFonts w:hint="eastAsia" w:ascii="仿宋" w:hAnsi="仿宋" w:eastAsia="仿宋" w:cs="仿宋"/>
          <w:sz w:val="24"/>
          <w:szCs w:val="24"/>
          <w:lang w:eastAsia="zh-CN"/>
        </w:rPr>
        <w:t>甲方</w:t>
      </w:r>
      <w:r>
        <w:rPr>
          <w:rFonts w:hint="eastAsia" w:ascii="仿宋" w:hAnsi="仿宋" w:eastAsia="仿宋" w:cs="仿宋"/>
          <w:sz w:val="24"/>
          <w:szCs w:val="24"/>
        </w:rPr>
        <w:t>施工现场的各项规章制度和安全操作规程，在</w:t>
      </w:r>
      <w:r>
        <w:rPr>
          <w:rFonts w:hint="eastAsia" w:ascii="仿宋" w:hAnsi="仿宋" w:eastAsia="仿宋" w:cs="仿宋"/>
          <w:sz w:val="24"/>
          <w:szCs w:val="24"/>
          <w:lang w:eastAsia="zh-CN"/>
        </w:rPr>
        <w:t>甲方</w:t>
      </w:r>
      <w:r>
        <w:rPr>
          <w:rFonts w:hint="eastAsia" w:ascii="仿宋" w:hAnsi="仿宋" w:eastAsia="仿宋" w:cs="仿宋"/>
          <w:sz w:val="24"/>
          <w:szCs w:val="24"/>
        </w:rPr>
        <w:t>的组织安排下负责完成系统调试、现场性能试验和验收，服从</w:t>
      </w:r>
      <w:r>
        <w:rPr>
          <w:rFonts w:hint="eastAsia" w:ascii="仿宋" w:hAnsi="仿宋" w:eastAsia="仿宋" w:cs="仿宋"/>
          <w:sz w:val="24"/>
          <w:szCs w:val="24"/>
          <w:lang w:eastAsia="zh-CN"/>
        </w:rPr>
        <w:t>甲方</w:t>
      </w:r>
      <w:r>
        <w:rPr>
          <w:rFonts w:hint="eastAsia" w:ascii="仿宋" w:hAnsi="仿宋" w:eastAsia="仿宋" w:cs="仿宋"/>
          <w:sz w:val="24"/>
          <w:szCs w:val="24"/>
        </w:rPr>
        <w:t>的现场安排。如果任何技术人员不合格，</w:t>
      </w:r>
      <w:r>
        <w:rPr>
          <w:rFonts w:hint="eastAsia" w:ascii="仿宋" w:hAnsi="仿宋" w:eastAsia="仿宋" w:cs="仿宋"/>
          <w:sz w:val="24"/>
          <w:szCs w:val="24"/>
          <w:lang w:eastAsia="zh-CN"/>
        </w:rPr>
        <w:t>甲方</w:t>
      </w:r>
      <w:r>
        <w:rPr>
          <w:rFonts w:hint="eastAsia" w:ascii="仿宋" w:hAnsi="仿宋" w:eastAsia="仿宋" w:cs="仿宋"/>
          <w:sz w:val="24"/>
          <w:szCs w:val="24"/>
        </w:rPr>
        <w:t>有权要求</w:t>
      </w:r>
      <w:r>
        <w:rPr>
          <w:rFonts w:hint="eastAsia" w:ascii="仿宋" w:hAnsi="仿宋" w:eastAsia="仿宋" w:cs="仿宋"/>
          <w:sz w:val="24"/>
          <w:szCs w:val="24"/>
          <w:lang w:eastAsia="zh-CN"/>
        </w:rPr>
        <w:t>乙方</w:t>
      </w:r>
      <w:r>
        <w:rPr>
          <w:rFonts w:hint="eastAsia" w:ascii="仿宋" w:hAnsi="仿宋" w:eastAsia="仿宋" w:cs="仿宋"/>
          <w:sz w:val="24"/>
          <w:szCs w:val="24"/>
        </w:rPr>
        <w:t>撤换，因撤换而产生的费用应由</w:t>
      </w:r>
      <w:r>
        <w:rPr>
          <w:rFonts w:hint="eastAsia" w:ascii="仿宋" w:hAnsi="仿宋" w:eastAsia="仿宋" w:cs="仿宋"/>
          <w:sz w:val="24"/>
          <w:szCs w:val="24"/>
          <w:lang w:eastAsia="zh-CN"/>
        </w:rPr>
        <w:t>乙方</w:t>
      </w:r>
      <w:r>
        <w:rPr>
          <w:rFonts w:hint="eastAsia" w:ascii="仿宋" w:hAnsi="仿宋" w:eastAsia="仿宋" w:cs="仿宋"/>
          <w:sz w:val="24"/>
          <w:szCs w:val="24"/>
        </w:rPr>
        <w:t>承担。在不影响技术服务并且征得</w:t>
      </w:r>
      <w:r>
        <w:rPr>
          <w:rFonts w:hint="eastAsia" w:ascii="仿宋" w:hAnsi="仿宋" w:eastAsia="仿宋" w:cs="仿宋"/>
          <w:sz w:val="24"/>
          <w:szCs w:val="24"/>
          <w:lang w:eastAsia="zh-CN"/>
        </w:rPr>
        <w:t>甲方</w:t>
      </w:r>
      <w:r>
        <w:rPr>
          <w:rFonts w:hint="eastAsia" w:ascii="仿宋" w:hAnsi="仿宋" w:eastAsia="仿宋" w:cs="仿宋"/>
          <w:sz w:val="24"/>
          <w:szCs w:val="24"/>
        </w:rPr>
        <w:t>同意的条件下，</w:t>
      </w:r>
      <w:r>
        <w:rPr>
          <w:rFonts w:hint="eastAsia" w:ascii="仿宋" w:hAnsi="仿宋" w:eastAsia="仿宋" w:cs="仿宋"/>
          <w:sz w:val="24"/>
          <w:szCs w:val="24"/>
          <w:lang w:eastAsia="zh-CN"/>
        </w:rPr>
        <w:t>乙方</w:t>
      </w:r>
      <w:r>
        <w:rPr>
          <w:rFonts w:hint="eastAsia" w:ascii="仿宋" w:hAnsi="仿宋" w:eastAsia="仿宋" w:cs="仿宋"/>
          <w:sz w:val="24"/>
          <w:szCs w:val="24"/>
        </w:rPr>
        <w:t>也可自负费用更换其技术人员。非因</w:t>
      </w:r>
      <w:r>
        <w:rPr>
          <w:rFonts w:hint="eastAsia" w:ascii="仿宋" w:hAnsi="仿宋" w:eastAsia="仿宋" w:cs="仿宋"/>
          <w:sz w:val="24"/>
          <w:szCs w:val="24"/>
          <w:lang w:eastAsia="zh-CN"/>
        </w:rPr>
        <w:t>甲方</w:t>
      </w:r>
      <w:r>
        <w:rPr>
          <w:rFonts w:hint="eastAsia" w:ascii="仿宋" w:hAnsi="仿宋" w:eastAsia="仿宋" w:cs="仿宋"/>
          <w:sz w:val="24"/>
          <w:szCs w:val="24"/>
        </w:rPr>
        <w:t>原因，</w:t>
      </w:r>
      <w:r>
        <w:rPr>
          <w:rFonts w:hint="eastAsia" w:ascii="仿宋" w:hAnsi="仿宋" w:eastAsia="仿宋" w:cs="仿宋"/>
          <w:sz w:val="24"/>
          <w:szCs w:val="24"/>
          <w:lang w:eastAsia="zh-CN"/>
        </w:rPr>
        <w:t>乙方</w:t>
      </w:r>
      <w:r>
        <w:rPr>
          <w:rFonts w:hint="eastAsia" w:ascii="仿宋" w:hAnsi="仿宋" w:eastAsia="仿宋" w:cs="仿宋"/>
          <w:sz w:val="24"/>
          <w:szCs w:val="24"/>
        </w:rPr>
        <w:t>人员遭受人身、财产损害，或</w:t>
      </w:r>
      <w:r>
        <w:rPr>
          <w:rFonts w:hint="eastAsia" w:ascii="仿宋" w:hAnsi="仿宋" w:eastAsia="仿宋" w:cs="仿宋"/>
          <w:sz w:val="24"/>
          <w:szCs w:val="24"/>
          <w:lang w:eastAsia="zh-CN"/>
        </w:rPr>
        <w:t>乙方</w:t>
      </w:r>
      <w:r>
        <w:rPr>
          <w:rFonts w:hint="eastAsia" w:ascii="仿宋" w:hAnsi="仿宋" w:eastAsia="仿宋" w:cs="仿宋"/>
          <w:sz w:val="24"/>
          <w:szCs w:val="24"/>
        </w:rPr>
        <w:t>人员造成</w:t>
      </w:r>
      <w:r>
        <w:rPr>
          <w:rFonts w:hint="eastAsia" w:ascii="仿宋" w:hAnsi="仿宋" w:eastAsia="仿宋" w:cs="仿宋"/>
          <w:sz w:val="24"/>
          <w:szCs w:val="24"/>
          <w:lang w:eastAsia="zh-CN"/>
        </w:rPr>
        <w:t>甲方</w:t>
      </w:r>
      <w:r>
        <w:rPr>
          <w:rFonts w:hint="eastAsia" w:ascii="仿宋" w:hAnsi="仿宋" w:eastAsia="仿宋" w:cs="仿宋"/>
          <w:sz w:val="24"/>
          <w:szCs w:val="24"/>
        </w:rPr>
        <w:t>、第三人人身财产损害的，由</w:t>
      </w:r>
      <w:r>
        <w:rPr>
          <w:rFonts w:hint="eastAsia" w:ascii="仿宋" w:hAnsi="仿宋" w:eastAsia="仿宋" w:cs="仿宋"/>
          <w:sz w:val="24"/>
          <w:szCs w:val="24"/>
          <w:lang w:eastAsia="zh-CN"/>
        </w:rPr>
        <w:t>乙方</w:t>
      </w:r>
      <w:r>
        <w:rPr>
          <w:rFonts w:hint="eastAsia" w:ascii="仿宋" w:hAnsi="仿宋" w:eastAsia="仿宋" w:cs="仿宋"/>
          <w:sz w:val="24"/>
          <w:szCs w:val="24"/>
        </w:rPr>
        <w:t>承担全部责任。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）乙方</w:t>
      </w:r>
      <w:r>
        <w:rPr>
          <w:rFonts w:hint="eastAsia" w:ascii="仿宋" w:hAnsi="仿宋" w:eastAsia="仿宋" w:cs="仿宋"/>
          <w:sz w:val="24"/>
          <w:szCs w:val="24"/>
        </w:rPr>
        <w:t>按照要求提供产品合格证书、产品检测记录、调试记录等技术资料。</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）乙方</w:t>
      </w:r>
      <w:r>
        <w:rPr>
          <w:rFonts w:hint="eastAsia" w:ascii="仿宋" w:hAnsi="仿宋" w:eastAsia="仿宋" w:cs="仿宋"/>
          <w:sz w:val="24"/>
          <w:szCs w:val="24"/>
        </w:rPr>
        <w:t>负责与硬件设备相配套的软件厂家、其它设备的制造商、第三方软件厂家和售后服务部门等联系沟通，完成安装、调试，配置相关的产品。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）乙方</w:t>
      </w:r>
      <w:r>
        <w:rPr>
          <w:rFonts w:hint="eastAsia" w:ascii="仿宋" w:hAnsi="仿宋" w:eastAsia="仿宋" w:cs="仿宋"/>
          <w:sz w:val="24"/>
          <w:szCs w:val="24"/>
        </w:rPr>
        <w:t>负责配合相关厂家，定期检查产品、及时排查硬件故障。在合同设备设计使用寿命期内，如果</w:t>
      </w:r>
      <w:r>
        <w:rPr>
          <w:rFonts w:hint="eastAsia" w:ascii="仿宋" w:hAnsi="仿宋" w:eastAsia="仿宋" w:cs="仿宋"/>
          <w:sz w:val="24"/>
          <w:szCs w:val="24"/>
          <w:lang w:eastAsia="zh-CN"/>
        </w:rPr>
        <w:t>乙方</w:t>
      </w:r>
      <w:r>
        <w:rPr>
          <w:rFonts w:hint="eastAsia" w:ascii="仿宋" w:hAnsi="仿宋" w:eastAsia="仿宋" w:cs="仿宋"/>
          <w:sz w:val="24"/>
          <w:szCs w:val="24"/>
        </w:rPr>
        <w:t>发现合同设备由于设计、制造、标识等原因存在足以危及人身、财产安全的缺陷，</w:t>
      </w:r>
      <w:r>
        <w:rPr>
          <w:rFonts w:hint="eastAsia" w:ascii="仿宋" w:hAnsi="仿宋" w:eastAsia="仿宋" w:cs="仿宋"/>
          <w:sz w:val="24"/>
          <w:szCs w:val="24"/>
          <w:lang w:eastAsia="zh-CN"/>
        </w:rPr>
        <w:t>乙方</w:t>
      </w:r>
      <w:r>
        <w:rPr>
          <w:rFonts w:hint="eastAsia" w:ascii="仿宋" w:hAnsi="仿宋" w:eastAsia="仿宋" w:cs="仿宋"/>
          <w:sz w:val="24"/>
          <w:szCs w:val="24"/>
        </w:rPr>
        <w:t>将及时通知</w:t>
      </w:r>
      <w:r>
        <w:rPr>
          <w:rFonts w:hint="eastAsia" w:ascii="仿宋" w:hAnsi="仿宋" w:eastAsia="仿宋" w:cs="仿宋"/>
          <w:sz w:val="24"/>
          <w:szCs w:val="24"/>
          <w:lang w:eastAsia="zh-CN"/>
        </w:rPr>
        <w:t>甲方</w:t>
      </w:r>
      <w:r>
        <w:rPr>
          <w:rFonts w:hint="eastAsia" w:ascii="仿宋" w:hAnsi="仿宋" w:eastAsia="仿宋" w:cs="仿宋"/>
          <w:sz w:val="24"/>
          <w:szCs w:val="24"/>
        </w:rPr>
        <w:t>并及时采取修正或者补充标识、修理、更换等措施消除缺陷。</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）乙方</w:t>
      </w:r>
      <w:r>
        <w:rPr>
          <w:rFonts w:hint="eastAsia" w:ascii="仿宋" w:hAnsi="仿宋" w:eastAsia="仿宋" w:cs="仿宋"/>
          <w:sz w:val="24"/>
          <w:szCs w:val="24"/>
        </w:rPr>
        <w:t>未按合同规定的质量要求交付产品，</w:t>
      </w:r>
      <w:r>
        <w:rPr>
          <w:rFonts w:hint="eastAsia" w:ascii="仿宋" w:hAnsi="仿宋" w:eastAsia="仿宋" w:cs="仿宋"/>
          <w:sz w:val="24"/>
          <w:szCs w:val="24"/>
          <w:lang w:eastAsia="zh-CN"/>
        </w:rPr>
        <w:t>甲方</w:t>
      </w:r>
      <w:r>
        <w:rPr>
          <w:rFonts w:hint="eastAsia" w:ascii="仿宋" w:hAnsi="仿宋" w:eastAsia="仿宋" w:cs="仿宋"/>
          <w:sz w:val="24"/>
          <w:szCs w:val="24"/>
        </w:rPr>
        <w:t>拒收时，</w:t>
      </w:r>
      <w:r>
        <w:rPr>
          <w:rFonts w:hint="eastAsia" w:ascii="仿宋" w:hAnsi="仿宋" w:eastAsia="仿宋" w:cs="仿宋"/>
          <w:sz w:val="24"/>
          <w:szCs w:val="24"/>
          <w:lang w:eastAsia="zh-CN"/>
        </w:rPr>
        <w:t>乙方</w:t>
      </w:r>
      <w:r>
        <w:rPr>
          <w:rFonts w:hint="eastAsia" w:ascii="仿宋" w:hAnsi="仿宋" w:eastAsia="仿宋" w:cs="仿宋"/>
          <w:sz w:val="24"/>
          <w:szCs w:val="24"/>
        </w:rPr>
        <w:t>应承担合同的违约责任。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w:t>
      </w:r>
      <w:r>
        <w:rPr>
          <w:rFonts w:hint="eastAsia" w:ascii="仿宋" w:hAnsi="仿宋" w:eastAsia="仿宋" w:cs="仿宋"/>
          <w:sz w:val="24"/>
          <w:szCs w:val="24"/>
        </w:rPr>
        <w:t>迟延履行，</w:t>
      </w:r>
      <w:r>
        <w:rPr>
          <w:rFonts w:hint="eastAsia" w:ascii="仿宋" w:hAnsi="仿宋" w:eastAsia="仿宋" w:cs="仿宋"/>
          <w:sz w:val="24"/>
          <w:szCs w:val="24"/>
          <w:lang w:eastAsia="zh-CN"/>
        </w:rPr>
        <w:t>甲方</w:t>
      </w:r>
      <w:r>
        <w:rPr>
          <w:rFonts w:hint="eastAsia" w:ascii="仿宋" w:hAnsi="仿宋" w:eastAsia="仿宋" w:cs="仿宋"/>
          <w:sz w:val="24"/>
          <w:szCs w:val="24"/>
        </w:rPr>
        <w:t>书面确定一个合理的期限，如</w:t>
      </w:r>
      <w:r>
        <w:rPr>
          <w:rFonts w:hint="eastAsia" w:ascii="仿宋" w:hAnsi="仿宋" w:eastAsia="仿宋" w:cs="仿宋"/>
          <w:sz w:val="24"/>
          <w:szCs w:val="24"/>
          <w:lang w:eastAsia="zh-CN"/>
        </w:rPr>
        <w:t>乙方</w:t>
      </w:r>
      <w:r>
        <w:rPr>
          <w:rFonts w:hint="eastAsia" w:ascii="仿宋" w:hAnsi="仿宋" w:eastAsia="仿宋" w:cs="仿宋"/>
          <w:sz w:val="24"/>
          <w:szCs w:val="24"/>
        </w:rPr>
        <w:t>仍不能履行，按</w:t>
      </w:r>
      <w:r>
        <w:rPr>
          <w:rFonts w:hint="eastAsia" w:ascii="仿宋" w:hAnsi="仿宋" w:eastAsia="仿宋" w:cs="仿宋"/>
          <w:sz w:val="24"/>
          <w:szCs w:val="24"/>
          <w:lang w:eastAsia="zh-CN"/>
        </w:rPr>
        <w:t>乙方</w:t>
      </w:r>
      <w:r>
        <w:rPr>
          <w:rFonts w:hint="eastAsia" w:ascii="仿宋" w:hAnsi="仿宋" w:eastAsia="仿宋" w:cs="仿宋"/>
          <w:sz w:val="24"/>
          <w:szCs w:val="24"/>
        </w:rPr>
        <w:t>不履行合同处理。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w:t>
      </w:r>
      <w:r>
        <w:rPr>
          <w:rFonts w:hint="eastAsia" w:ascii="仿宋" w:hAnsi="仿宋" w:eastAsia="仿宋" w:cs="仿宋"/>
          <w:sz w:val="24"/>
          <w:szCs w:val="24"/>
        </w:rPr>
        <w:t>本合同所有产品的制造，都必须由采购文件和谈判时做出的书面承诺中明确的制造商承担，否则将按</w:t>
      </w:r>
      <w:r>
        <w:rPr>
          <w:rFonts w:hint="eastAsia" w:ascii="仿宋" w:hAnsi="仿宋" w:eastAsia="仿宋" w:cs="仿宋"/>
          <w:sz w:val="24"/>
          <w:szCs w:val="24"/>
          <w:lang w:eastAsia="zh-CN"/>
        </w:rPr>
        <w:t>乙方</w:t>
      </w:r>
      <w:r>
        <w:rPr>
          <w:rFonts w:hint="eastAsia" w:ascii="仿宋" w:hAnsi="仿宋" w:eastAsia="仿宋" w:cs="仿宋"/>
          <w:sz w:val="24"/>
          <w:szCs w:val="24"/>
        </w:rPr>
        <w:t>不履行合同处理。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）乙方</w:t>
      </w:r>
      <w:r>
        <w:rPr>
          <w:rFonts w:hint="eastAsia" w:ascii="仿宋" w:hAnsi="仿宋" w:eastAsia="仿宋" w:cs="仿宋"/>
          <w:sz w:val="24"/>
          <w:szCs w:val="24"/>
        </w:rPr>
        <w:t>保证不在软件中对功能、性能、容量进行人为限制，不得含有陷阱、逻辑炸弹、后门等非法程序代码。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13</w:t>
      </w:r>
      <w:r>
        <w:rPr>
          <w:rFonts w:hint="eastAsia" w:ascii="仿宋" w:hAnsi="仿宋" w:eastAsia="仿宋" w:cs="仿宋"/>
          <w:sz w:val="24"/>
          <w:szCs w:val="24"/>
          <w:lang w:eastAsia="zh-CN"/>
        </w:rPr>
        <w:t>）乙方</w:t>
      </w:r>
      <w:r>
        <w:rPr>
          <w:rFonts w:hint="eastAsia" w:ascii="仿宋" w:hAnsi="仿宋" w:eastAsia="仿宋" w:cs="仿宋"/>
          <w:sz w:val="24"/>
          <w:szCs w:val="24"/>
        </w:rPr>
        <w:t>保证按培训计划对</w:t>
      </w:r>
      <w:r>
        <w:rPr>
          <w:rFonts w:hint="eastAsia" w:ascii="仿宋" w:hAnsi="仿宋" w:eastAsia="仿宋" w:cs="仿宋"/>
          <w:sz w:val="24"/>
          <w:szCs w:val="24"/>
          <w:lang w:eastAsia="zh-CN"/>
        </w:rPr>
        <w:t>甲方</w:t>
      </w:r>
      <w:r>
        <w:rPr>
          <w:rFonts w:hint="eastAsia" w:ascii="仿宋" w:hAnsi="仿宋" w:eastAsia="仿宋" w:cs="仿宋"/>
          <w:sz w:val="24"/>
          <w:szCs w:val="24"/>
        </w:rPr>
        <w:t>技术人员进行培训，向</w:t>
      </w:r>
      <w:r>
        <w:rPr>
          <w:rFonts w:hint="eastAsia" w:ascii="仿宋" w:hAnsi="仿宋" w:eastAsia="仿宋" w:cs="仿宋"/>
          <w:sz w:val="24"/>
          <w:szCs w:val="24"/>
          <w:lang w:eastAsia="zh-CN"/>
        </w:rPr>
        <w:t>甲方</w:t>
      </w:r>
      <w:r>
        <w:rPr>
          <w:rFonts w:hint="eastAsia" w:ascii="仿宋" w:hAnsi="仿宋" w:eastAsia="仿宋" w:cs="仿宋"/>
          <w:sz w:val="24"/>
          <w:szCs w:val="24"/>
        </w:rPr>
        <w:t>公开所有技术细节和技术资料，使</w:t>
      </w:r>
      <w:r>
        <w:rPr>
          <w:rFonts w:hint="eastAsia" w:ascii="仿宋" w:hAnsi="仿宋" w:eastAsia="仿宋" w:cs="仿宋"/>
          <w:sz w:val="24"/>
          <w:szCs w:val="24"/>
          <w:lang w:eastAsia="zh-CN"/>
        </w:rPr>
        <w:t>甲方</w:t>
      </w:r>
      <w:r>
        <w:rPr>
          <w:rFonts w:hint="eastAsia" w:ascii="仿宋" w:hAnsi="仿宋" w:eastAsia="仿宋" w:cs="仿宋"/>
          <w:sz w:val="24"/>
          <w:szCs w:val="24"/>
        </w:rPr>
        <w:t>人员完全了解和掌握系统开发、调试、安装过程，具备对系统进行独立运营和维护的能力，保证在系统验收后</w:t>
      </w:r>
      <w:r>
        <w:rPr>
          <w:rFonts w:hint="eastAsia" w:ascii="仿宋" w:hAnsi="仿宋" w:eastAsia="仿宋" w:cs="仿宋"/>
          <w:sz w:val="24"/>
          <w:szCs w:val="24"/>
          <w:lang w:eastAsia="zh-CN"/>
        </w:rPr>
        <w:t>甲方</w:t>
      </w:r>
      <w:r>
        <w:rPr>
          <w:rFonts w:hint="eastAsia" w:ascii="仿宋" w:hAnsi="仿宋" w:eastAsia="仿宋" w:cs="仿宋"/>
          <w:sz w:val="24"/>
          <w:szCs w:val="24"/>
        </w:rPr>
        <w:t>人员能够进行交接。</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第十七条 违约责任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17.1</w:t>
      </w:r>
      <w:r>
        <w:rPr>
          <w:rFonts w:hint="eastAsia" w:ascii="仿宋" w:hAnsi="仿宋" w:eastAsia="仿宋" w:cs="仿宋"/>
          <w:sz w:val="24"/>
          <w:szCs w:val="24"/>
          <w:lang w:eastAsia="zh-CN"/>
        </w:rPr>
        <w:t>乙方</w:t>
      </w:r>
      <w:r>
        <w:rPr>
          <w:rFonts w:hint="eastAsia" w:ascii="仿宋" w:hAnsi="仿宋" w:eastAsia="仿宋" w:cs="仿宋"/>
          <w:sz w:val="24"/>
          <w:szCs w:val="24"/>
        </w:rPr>
        <w:t>承担本合同约定事项的违约责任，且不因设备或软是由第三方制造或开发设计等因素而受到影响。</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17.2</w:t>
      </w:r>
      <w:r>
        <w:rPr>
          <w:rFonts w:hint="eastAsia" w:ascii="仿宋" w:hAnsi="仿宋" w:eastAsia="仿宋" w:cs="仿宋"/>
          <w:sz w:val="24"/>
          <w:szCs w:val="24"/>
        </w:rPr>
        <w:t>由于</w:t>
      </w:r>
      <w:r>
        <w:rPr>
          <w:rFonts w:hint="eastAsia" w:ascii="仿宋" w:hAnsi="仿宋" w:eastAsia="仿宋" w:cs="仿宋"/>
          <w:sz w:val="24"/>
          <w:szCs w:val="24"/>
          <w:lang w:eastAsia="zh-CN"/>
        </w:rPr>
        <w:t>乙方</w:t>
      </w:r>
      <w:r>
        <w:rPr>
          <w:rFonts w:hint="eastAsia" w:ascii="仿宋" w:hAnsi="仿宋" w:eastAsia="仿宋" w:cs="仿宋"/>
          <w:sz w:val="24"/>
          <w:szCs w:val="24"/>
        </w:rPr>
        <w:t>提供的服务不符合招标文件及本合同第四条所规定的要求时，</w:t>
      </w:r>
      <w:r>
        <w:rPr>
          <w:rFonts w:hint="eastAsia" w:ascii="仿宋" w:hAnsi="仿宋" w:eastAsia="仿宋" w:cs="仿宋"/>
          <w:sz w:val="24"/>
          <w:szCs w:val="24"/>
          <w:lang w:eastAsia="zh-CN"/>
        </w:rPr>
        <w:t>甲方</w:t>
      </w:r>
      <w:r>
        <w:rPr>
          <w:rFonts w:hint="eastAsia" w:ascii="仿宋" w:hAnsi="仿宋" w:eastAsia="仿宋" w:cs="仿宋"/>
          <w:sz w:val="24"/>
          <w:szCs w:val="24"/>
        </w:rPr>
        <w:t>有权要求</w:t>
      </w:r>
      <w:r>
        <w:rPr>
          <w:rFonts w:hint="eastAsia" w:ascii="仿宋" w:hAnsi="仿宋" w:eastAsia="仿宋" w:cs="仿宋"/>
          <w:sz w:val="24"/>
          <w:szCs w:val="24"/>
          <w:lang w:eastAsia="zh-CN"/>
        </w:rPr>
        <w:t>乙方</w:t>
      </w:r>
      <w:r>
        <w:rPr>
          <w:rFonts w:hint="eastAsia" w:ascii="仿宋" w:hAnsi="仿宋" w:eastAsia="仿宋" w:cs="仿宋"/>
          <w:sz w:val="24"/>
          <w:szCs w:val="24"/>
        </w:rPr>
        <w:t>更换，如果</w:t>
      </w:r>
      <w:r>
        <w:rPr>
          <w:rFonts w:hint="eastAsia" w:ascii="仿宋" w:hAnsi="仿宋" w:eastAsia="仿宋" w:cs="仿宋"/>
          <w:sz w:val="24"/>
          <w:szCs w:val="24"/>
          <w:lang w:eastAsia="zh-CN"/>
        </w:rPr>
        <w:t>乙方</w:t>
      </w:r>
      <w:r>
        <w:rPr>
          <w:rFonts w:hint="eastAsia" w:ascii="仿宋" w:hAnsi="仿宋" w:eastAsia="仿宋" w:cs="仿宋"/>
          <w:sz w:val="24"/>
          <w:szCs w:val="24"/>
        </w:rPr>
        <w:t>产品在更换后仍不符合要求，</w:t>
      </w:r>
      <w:r>
        <w:rPr>
          <w:rFonts w:hint="eastAsia" w:ascii="仿宋" w:hAnsi="仿宋" w:eastAsia="仿宋" w:cs="仿宋"/>
          <w:sz w:val="24"/>
          <w:szCs w:val="24"/>
          <w:lang w:eastAsia="zh-CN"/>
        </w:rPr>
        <w:t>甲方</w:t>
      </w:r>
      <w:r>
        <w:rPr>
          <w:rFonts w:hint="eastAsia" w:ascii="仿宋" w:hAnsi="仿宋" w:eastAsia="仿宋" w:cs="仿宋"/>
          <w:sz w:val="24"/>
          <w:szCs w:val="24"/>
        </w:rPr>
        <w:t>有权终止合同，</w:t>
      </w:r>
      <w:r>
        <w:rPr>
          <w:rFonts w:hint="eastAsia" w:ascii="仿宋" w:hAnsi="仿宋" w:eastAsia="仿宋" w:cs="仿宋"/>
          <w:sz w:val="24"/>
          <w:szCs w:val="24"/>
          <w:lang w:eastAsia="zh-CN"/>
        </w:rPr>
        <w:t>乙方</w:t>
      </w:r>
      <w:r>
        <w:rPr>
          <w:rFonts w:hint="eastAsia" w:ascii="仿宋" w:hAnsi="仿宋" w:eastAsia="仿宋" w:cs="仿宋"/>
          <w:sz w:val="24"/>
          <w:szCs w:val="24"/>
        </w:rPr>
        <w:t>应支付合同总额</w:t>
      </w:r>
      <w:permStart w:id="56" w:edGrp="everyone"/>
      <w:r>
        <w:rPr>
          <w:rFonts w:hint="eastAsia" w:ascii="仿宋" w:hAnsi="仿宋" w:eastAsia="仿宋" w:cs="仿宋"/>
          <w:sz w:val="24"/>
          <w:szCs w:val="24"/>
        </w:rPr>
        <w:t>【</w:t>
      </w:r>
      <w:r>
        <w:rPr>
          <w:rFonts w:hint="eastAsia" w:ascii="仿宋" w:hAnsi="仿宋" w:eastAsia="仿宋" w:cs="仿宋"/>
          <w:sz w:val="24"/>
          <w:szCs w:val="24"/>
          <w:lang w:val="en-US" w:eastAsia="zh-CN"/>
        </w:rPr>
        <w:t>20</w:t>
      </w:r>
      <w:r>
        <w:rPr>
          <w:rFonts w:hint="eastAsia" w:ascii="仿宋" w:hAnsi="仿宋" w:eastAsia="仿宋" w:cs="仿宋"/>
          <w:sz w:val="24"/>
          <w:szCs w:val="24"/>
        </w:rPr>
        <w:t>】</w:t>
      </w:r>
      <w:permEnd w:id="56"/>
      <w:r>
        <w:rPr>
          <w:rFonts w:hint="eastAsia" w:ascii="仿宋" w:hAnsi="仿宋" w:eastAsia="仿宋" w:cs="仿宋"/>
          <w:sz w:val="24"/>
          <w:szCs w:val="24"/>
        </w:rPr>
        <w:t>%的违约金给</w:t>
      </w:r>
      <w:r>
        <w:rPr>
          <w:rFonts w:hint="eastAsia" w:ascii="仿宋" w:hAnsi="仿宋" w:eastAsia="仿宋" w:cs="仿宋"/>
          <w:sz w:val="24"/>
          <w:szCs w:val="24"/>
          <w:lang w:eastAsia="zh-CN"/>
        </w:rPr>
        <w:t>甲方</w:t>
      </w:r>
      <w:r>
        <w:rPr>
          <w:rFonts w:hint="eastAsia" w:ascii="仿宋" w:hAnsi="仿宋" w:eastAsia="仿宋" w:cs="仿宋"/>
          <w:sz w:val="24"/>
          <w:szCs w:val="24"/>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17.3</w:t>
      </w:r>
      <w:r>
        <w:rPr>
          <w:rFonts w:hint="eastAsia" w:ascii="仿宋" w:hAnsi="仿宋" w:eastAsia="仿宋" w:cs="仿宋"/>
          <w:sz w:val="24"/>
          <w:szCs w:val="24"/>
        </w:rPr>
        <w:t>若</w:t>
      </w:r>
      <w:r>
        <w:rPr>
          <w:rFonts w:hint="eastAsia" w:ascii="仿宋" w:hAnsi="仿宋" w:eastAsia="仿宋" w:cs="仿宋"/>
          <w:sz w:val="24"/>
          <w:szCs w:val="24"/>
          <w:lang w:eastAsia="zh-CN"/>
        </w:rPr>
        <w:t>甲方</w:t>
      </w:r>
      <w:r>
        <w:rPr>
          <w:rFonts w:hint="eastAsia" w:ascii="仿宋" w:hAnsi="仿宋" w:eastAsia="仿宋" w:cs="仿宋"/>
          <w:sz w:val="24"/>
          <w:szCs w:val="24"/>
        </w:rPr>
        <w:t>已有系统是由</w:t>
      </w:r>
      <w:r>
        <w:rPr>
          <w:rFonts w:hint="eastAsia" w:ascii="仿宋" w:hAnsi="仿宋" w:eastAsia="仿宋" w:cs="仿宋"/>
          <w:sz w:val="24"/>
          <w:szCs w:val="24"/>
          <w:lang w:eastAsia="zh-CN"/>
        </w:rPr>
        <w:t>乙方</w:t>
      </w:r>
      <w:r>
        <w:rPr>
          <w:rFonts w:hint="eastAsia" w:ascii="仿宋" w:hAnsi="仿宋" w:eastAsia="仿宋" w:cs="仿宋"/>
          <w:sz w:val="24"/>
          <w:szCs w:val="24"/>
        </w:rPr>
        <w:t>提供开发服务的，则</w:t>
      </w:r>
      <w:r>
        <w:rPr>
          <w:rFonts w:hint="eastAsia" w:ascii="仿宋" w:hAnsi="仿宋" w:eastAsia="仿宋" w:cs="仿宋"/>
          <w:sz w:val="24"/>
          <w:szCs w:val="24"/>
          <w:lang w:eastAsia="zh-CN"/>
        </w:rPr>
        <w:t>乙方</w:t>
      </w:r>
      <w:r>
        <w:rPr>
          <w:rFonts w:hint="eastAsia" w:ascii="仿宋" w:hAnsi="仿宋" w:eastAsia="仿宋" w:cs="仿宋"/>
          <w:sz w:val="24"/>
          <w:szCs w:val="24"/>
        </w:rPr>
        <w:t>应按</w:t>
      </w:r>
      <w:r>
        <w:rPr>
          <w:rFonts w:hint="eastAsia" w:ascii="仿宋" w:hAnsi="仿宋" w:eastAsia="仿宋" w:cs="仿宋"/>
          <w:sz w:val="24"/>
          <w:szCs w:val="24"/>
          <w:lang w:eastAsia="zh-CN"/>
        </w:rPr>
        <w:t>甲方</w:t>
      </w:r>
      <w:r>
        <w:rPr>
          <w:rFonts w:hint="eastAsia" w:ascii="仿宋" w:hAnsi="仿宋" w:eastAsia="仿宋" w:cs="仿宋"/>
          <w:sz w:val="24"/>
          <w:szCs w:val="24"/>
        </w:rPr>
        <w:t>要求进行技术服务，保证业务的正常运营和系统的正常运行，否则</w:t>
      </w:r>
      <w:r>
        <w:rPr>
          <w:rFonts w:hint="eastAsia" w:ascii="仿宋" w:hAnsi="仿宋" w:eastAsia="仿宋" w:cs="仿宋"/>
          <w:sz w:val="24"/>
          <w:szCs w:val="24"/>
          <w:lang w:eastAsia="zh-CN"/>
        </w:rPr>
        <w:t>甲方</w:t>
      </w:r>
      <w:r>
        <w:rPr>
          <w:rFonts w:hint="eastAsia" w:ascii="仿宋" w:hAnsi="仿宋" w:eastAsia="仿宋" w:cs="仿宋"/>
          <w:sz w:val="24"/>
          <w:szCs w:val="24"/>
        </w:rPr>
        <w:t>有权终止本合同。</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17.4</w:t>
      </w:r>
      <w:r>
        <w:rPr>
          <w:rFonts w:hint="eastAsia" w:ascii="仿宋" w:hAnsi="仿宋" w:eastAsia="仿宋" w:cs="仿宋"/>
          <w:sz w:val="24"/>
          <w:szCs w:val="24"/>
        </w:rPr>
        <w:t>在合同规定的包修期内，如果</w:t>
      </w:r>
      <w:r>
        <w:rPr>
          <w:rFonts w:hint="eastAsia" w:ascii="仿宋" w:hAnsi="仿宋" w:eastAsia="仿宋" w:cs="仿宋"/>
          <w:sz w:val="24"/>
          <w:szCs w:val="24"/>
          <w:lang w:eastAsia="zh-CN"/>
        </w:rPr>
        <w:t>乙方</w:t>
      </w:r>
      <w:r>
        <w:rPr>
          <w:rFonts w:hint="eastAsia" w:ascii="仿宋" w:hAnsi="仿宋" w:eastAsia="仿宋" w:cs="仿宋"/>
          <w:sz w:val="24"/>
          <w:szCs w:val="24"/>
        </w:rPr>
        <w:t>维修售后服务不及时，产品质量不稳定，则</w:t>
      </w:r>
      <w:r>
        <w:rPr>
          <w:rFonts w:hint="eastAsia" w:ascii="仿宋" w:hAnsi="仿宋" w:eastAsia="仿宋" w:cs="仿宋"/>
          <w:sz w:val="24"/>
          <w:szCs w:val="24"/>
          <w:lang w:eastAsia="zh-CN"/>
        </w:rPr>
        <w:t>甲方</w:t>
      </w:r>
      <w:r>
        <w:rPr>
          <w:rFonts w:hint="eastAsia" w:ascii="仿宋" w:hAnsi="仿宋" w:eastAsia="仿宋" w:cs="仿宋"/>
          <w:sz w:val="24"/>
          <w:szCs w:val="24"/>
        </w:rPr>
        <w:t>有权酌情扣除质量保证金，并追究</w:t>
      </w:r>
      <w:r>
        <w:rPr>
          <w:rFonts w:hint="eastAsia" w:ascii="仿宋" w:hAnsi="仿宋" w:eastAsia="仿宋" w:cs="仿宋"/>
          <w:sz w:val="24"/>
          <w:szCs w:val="24"/>
          <w:lang w:eastAsia="zh-CN"/>
        </w:rPr>
        <w:t>乙方</w:t>
      </w:r>
      <w:r>
        <w:rPr>
          <w:rFonts w:hint="eastAsia" w:ascii="仿宋" w:hAnsi="仿宋" w:eastAsia="仿宋" w:cs="仿宋"/>
          <w:sz w:val="24"/>
          <w:szCs w:val="24"/>
        </w:rPr>
        <w:t>赔偿损失的责任。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17.5</w:t>
      </w:r>
      <w:r>
        <w:rPr>
          <w:rFonts w:hint="eastAsia" w:ascii="仿宋" w:hAnsi="仿宋" w:eastAsia="仿宋" w:cs="仿宋"/>
          <w:sz w:val="24"/>
          <w:szCs w:val="24"/>
        </w:rPr>
        <w:t>在合同规定的包修期内，如因</w:t>
      </w:r>
      <w:r>
        <w:rPr>
          <w:rFonts w:hint="eastAsia" w:ascii="仿宋" w:hAnsi="仿宋" w:eastAsia="仿宋" w:cs="仿宋"/>
          <w:sz w:val="24"/>
          <w:szCs w:val="24"/>
          <w:lang w:eastAsia="zh-CN"/>
        </w:rPr>
        <w:t>乙方</w:t>
      </w:r>
      <w:r>
        <w:rPr>
          <w:rFonts w:hint="eastAsia" w:ascii="仿宋" w:hAnsi="仿宋" w:eastAsia="仿宋" w:cs="仿宋"/>
          <w:sz w:val="24"/>
          <w:szCs w:val="24"/>
        </w:rPr>
        <w:t>原因造成</w:t>
      </w:r>
      <w:r>
        <w:rPr>
          <w:rFonts w:hint="eastAsia" w:ascii="仿宋" w:hAnsi="仿宋" w:eastAsia="仿宋" w:cs="仿宋"/>
          <w:sz w:val="24"/>
          <w:szCs w:val="24"/>
          <w:lang w:eastAsia="zh-CN"/>
        </w:rPr>
        <w:t>甲方</w:t>
      </w:r>
      <w:r>
        <w:rPr>
          <w:rFonts w:hint="eastAsia" w:ascii="仿宋" w:hAnsi="仿宋" w:eastAsia="仿宋" w:cs="仿宋"/>
          <w:sz w:val="24"/>
          <w:szCs w:val="24"/>
        </w:rPr>
        <w:t>其他经济损失的，</w:t>
      </w:r>
      <w:r>
        <w:rPr>
          <w:rFonts w:hint="eastAsia" w:ascii="仿宋" w:hAnsi="仿宋" w:eastAsia="仿宋" w:cs="仿宋"/>
          <w:sz w:val="24"/>
          <w:szCs w:val="24"/>
          <w:lang w:eastAsia="zh-CN"/>
        </w:rPr>
        <w:t>乙方</w:t>
      </w:r>
      <w:r>
        <w:rPr>
          <w:rFonts w:hint="eastAsia" w:ascii="仿宋" w:hAnsi="仿宋" w:eastAsia="仿宋" w:cs="仿宋"/>
          <w:sz w:val="24"/>
          <w:szCs w:val="24"/>
        </w:rPr>
        <w:t>须承担赔偿损失的责任。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17.6</w:t>
      </w:r>
      <w:r>
        <w:rPr>
          <w:rFonts w:hint="eastAsia" w:ascii="仿宋" w:hAnsi="仿宋" w:eastAsia="仿宋" w:cs="仿宋"/>
          <w:sz w:val="24"/>
          <w:szCs w:val="24"/>
          <w:lang w:eastAsia="zh-CN"/>
        </w:rPr>
        <w:t>甲方</w:t>
      </w:r>
      <w:r>
        <w:rPr>
          <w:rFonts w:hint="eastAsia" w:ascii="仿宋" w:hAnsi="仿宋" w:eastAsia="仿宋" w:cs="仿宋"/>
          <w:sz w:val="24"/>
          <w:szCs w:val="24"/>
        </w:rPr>
        <w:t>有权根据当地质检部门出具的检验报告，就</w:t>
      </w:r>
      <w:r>
        <w:rPr>
          <w:rFonts w:hint="eastAsia" w:ascii="仿宋" w:hAnsi="仿宋" w:eastAsia="仿宋" w:cs="仿宋"/>
          <w:sz w:val="24"/>
          <w:szCs w:val="24"/>
          <w:lang w:eastAsia="zh-CN"/>
        </w:rPr>
        <w:t>乙方</w:t>
      </w:r>
      <w:r>
        <w:rPr>
          <w:rFonts w:hint="eastAsia" w:ascii="仿宋" w:hAnsi="仿宋" w:eastAsia="仿宋" w:cs="仿宋"/>
          <w:sz w:val="24"/>
          <w:szCs w:val="24"/>
        </w:rPr>
        <w:t>提供的开发服务及系统质量问题向</w:t>
      </w:r>
      <w:r>
        <w:rPr>
          <w:rFonts w:hint="eastAsia" w:ascii="仿宋" w:hAnsi="仿宋" w:eastAsia="仿宋" w:cs="仿宋"/>
          <w:sz w:val="24"/>
          <w:szCs w:val="24"/>
          <w:lang w:eastAsia="zh-CN"/>
        </w:rPr>
        <w:t>乙方</w:t>
      </w:r>
      <w:r>
        <w:rPr>
          <w:rFonts w:hint="eastAsia" w:ascii="仿宋" w:hAnsi="仿宋" w:eastAsia="仿宋" w:cs="仿宋"/>
          <w:sz w:val="24"/>
          <w:szCs w:val="24"/>
        </w:rPr>
        <w:t>提出索赔，检测费用由</w:t>
      </w:r>
      <w:r>
        <w:rPr>
          <w:rFonts w:hint="eastAsia" w:ascii="仿宋" w:hAnsi="仿宋" w:eastAsia="仿宋" w:cs="仿宋"/>
          <w:sz w:val="24"/>
          <w:szCs w:val="24"/>
          <w:lang w:eastAsia="zh-CN"/>
        </w:rPr>
        <w:t>乙方</w:t>
      </w:r>
      <w:r>
        <w:rPr>
          <w:rFonts w:hint="eastAsia" w:ascii="仿宋" w:hAnsi="仿宋" w:eastAsia="仿宋" w:cs="仿宋"/>
          <w:sz w:val="24"/>
          <w:szCs w:val="24"/>
        </w:rPr>
        <w:t>承担。</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17.7</w:t>
      </w:r>
      <w:r>
        <w:rPr>
          <w:rFonts w:hint="eastAsia" w:ascii="仿宋" w:hAnsi="仿宋" w:eastAsia="仿宋" w:cs="仿宋"/>
          <w:sz w:val="24"/>
          <w:szCs w:val="24"/>
        </w:rPr>
        <w:t>如果在</w:t>
      </w:r>
      <w:r>
        <w:rPr>
          <w:rFonts w:hint="eastAsia" w:ascii="仿宋" w:hAnsi="仿宋" w:eastAsia="仿宋" w:cs="仿宋"/>
          <w:sz w:val="24"/>
          <w:szCs w:val="24"/>
          <w:lang w:eastAsia="zh-CN"/>
        </w:rPr>
        <w:t>甲方</w:t>
      </w:r>
      <w:r>
        <w:rPr>
          <w:rFonts w:hint="eastAsia" w:ascii="仿宋" w:hAnsi="仿宋" w:eastAsia="仿宋" w:cs="仿宋"/>
          <w:sz w:val="24"/>
          <w:szCs w:val="24"/>
        </w:rPr>
        <w:t>发出索赔通知后</w:t>
      </w:r>
      <w:permStart w:id="57" w:edGrp="everyone"/>
      <w:r>
        <w:rPr>
          <w:rFonts w:hint="eastAsia" w:ascii="仿宋" w:hAnsi="仿宋" w:eastAsia="仿宋" w:cs="仿宋"/>
          <w:sz w:val="24"/>
          <w:szCs w:val="24"/>
        </w:rPr>
        <w:t>【</w:t>
      </w:r>
      <w:r>
        <w:rPr>
          <w:rFonts w:hint="eastAsia" w:ascii="仿宋" w:hAnsi="仿宋" w:eastAsia="仿宋" w:cs="仿宋"/>
          <w:sz w:val="24"/>
          <w:szCs w:val="24"/>
          <w:lang w:val="en-US" w:eastAsia="zh-CN"/>
        </w:rPr>
        <w:t>20</w:t>
      </w:r>
      <w:r>
        <w:rPr>
          <w:rFonts w:hint="eastAsia" w:ascii="仿宋" w:hAnsi="仿宋" w:eastAsia="仿宋" w:cs="仿宋"/>
          <w:sz w:val="24"/>
          <w:szCs w:val="24"/>
        </w:rPr>
        <w:t>】</w:t>
      </w:r>
      <w:permEnd w:id="57"/>
      <w:r>
        <w:rPr>
          <w:rFonts w:hint="eastAsia" w:ascii="仿宋" w:hAnsi="仿宋" w:eastAsia="仿宋" w:cs="仿宋"/>
          <w:sz w:val="24"/>
          <w:szCs w:val="24"/>
        </w:rPr>
        <w:t>日内，</w:t>
      </w:r>
      <w:r>
        <w:rPr>
          <w:rFonts w:hint="eastAsia" w:ascii="仿宋" w:hAnsi="仿宋" w:eastAsia="仿宋" w:cs="仿宋"/>
          <w:sz w:val="24"/>
          <w:szCs w:val="24"/>
          <w:lang w:eastAsia="zh-CN"/>
        </w:rPr>
        <w:t>乙方</w:t>
      </w:r>
      <w:r>
        <w:rPr>
          <w:rFonts w:hint="eastAsia" w:ascii="仿宋" w:hAnsi="仿宋" w:eastAsia="仿宋" w:cs="仿宋"/>
          <w:sz w:val="24"/>
          <w:szCs w:val="24"/>
        </w:rPr>
        <w:t>未作书面答复，视为</w:t>
      </w:r>
      <w:r>
        <w:rPr>
          <w:rFonts w:hint="eastAsia" w:ascii="仿宋" w:hAnsi="仿宋" w:eastAsia="仿宋" w:cs="仿宋"/>
          <w:sz w:val="24"/>
          <w:szCs w:val="24"/>
          <w:lang w:eastAsia="zh-CN"/>
        </w:rPr>
        <w:t>乙方</w:t>
      </w:r>
      <w:r>
        <w:rPr>
          <w:rFonts w:hint="eastAsia" w:ascii="仿宋" w:hAnsi="仿宋" w:eastAsia="仿宋" w:cs="仿宋"/>
          <w:sz w:val="24"/>
          <w:szCs w:val="24"/>
        </w:rPr>
        <w:t>接受索赔要求，</w:t>
      </w:r>
      <w:r>
        <w:rPr>
          <w:rFonts w:hint="eastAsia" w:ascii="仿宋" w:hAnsi="仿宋" w:eastAsia="仿宋" w:cs="仿宋"/>
          <w:sz w:val="24"/>
          <w:szCs w:val="24"/>
          <w:lang w:eastAsia="zh-CN"/>
        </w:rPr>
        <w:t>乙方</w:t>
      </w:r>
      <w:r>
        <w:rPr>
          <w:rFonts w:hint="eastAsia" w:ascii="仿宋" w:hAnsi="仿宋" w:eastAsia="仿宋" w:cs="仿宋"/>
          <w:sz w:val="24"/>
          <w:szCs w:val="24"/>
        </w:rPr>
        <w:t>应当立即支付赔偿金。</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17.8</w:t>
      </w:r>
      <w:r>
        <w:rPr>
          <w:rFonts w:hint="eastAsia" w:ascii="仿宋" w:hAnsi="仿宋" w:eastAsia="仿宋" w:cs="仿宋"/>
          <w:sz w:val="24"/>
          <w:szCs w:val="24"/>
          <w:lang w:eastAsia="zh-CN"/>
        </w:rPr>
        <w:t>乙方</w:t>
      </w:r>
      <w:r>
        <w:rPr>
          <w:rFonts w:hint="eastAsia" w:ascii="仿宋" w:hAnsi="仿宋" w:eastAsia="仿宋" w:cs="仿宋"/>
          <w:sz w:val="24"/>
          <w:szCs w:val="24"/>
        </w:rPr>
        <w:t>未按本合同第十一条、十二条约定提供合格的服务，</w:t>
      </w:r>
      <w:r>
        <w:rPr>
          <w:rFonts w:hint="eastAsia" w:ascii="仿宋" w:hAnsi="仿宋" w:eastAsia="仿宋" w:cs="仿宋"/>
          <w:sz w:val="24"/>
          <w:szCs w:val="24"/>
          <w:lang w:eastAsia="zh-CN"/>
        </w:rPr>
        <w:t>甲方</w:t>
      </w:r>
      <w:r>
        <w:rPr>
          <w:rFonts w:hint="eastAsia" w:ascii="仿宋" w:hAnsi="仿宋" w:eastAsia="仿宋" w:cs="仿宋"/>
          <w:sz w:val="24"/>
          <w:szCs w:val="24"/>
        </w:rPr>
        <w:t>在行使上述权利的同时，有权向第三方寻求该服务，由此产生的费用由</w:t>
      </w:r>
      <w:r>
        <w:rPr>
          <w:rFonts w:hint="eastAsia" w:ascii="仿宋" w:hAnsi="仿宋" w:eastAsia="仿宋" w:cs="仿宋"/>
          <w:sz w:val="24"/>
          <w:szCs w:val="24"/>
          <w:lang w:eastAsia="zh-CN"/>
        </w:rPr>
        <w:t>乙方</w:t>
      </w:r>
      <w:r>
        <w:rPr>
          <w:rFonts w:hint="eastAsia" w:ascii="仿宋" w:hAnsi="仿宋" w:eastAsia="仿宋" w:cs="仿宋"/>
          <w:sz w:val="24"/>
          <w:szCs w:val="24"/>
        </w:rPr>
        <w:t>承担。</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17.9</w:t>
      </w:r>
      <w:r>
        <w:rPr>
          <w:rFonts w:hint="eastAsia" w:ascii="仿宋" w:hAnsi="仿宋" w:eastAsia="仿宋" w:cs="仿宋"/>
          <w:sz w:val="24"/>
          <w:szCs w:val="24"/>
        </w:rPr>
        <w:t>因</w:t>
      </w:r>
      <w:r>
        <w:rPr>
          <w:rFonts w:hint="eastAsia" w:ascii="仿宋" w:hAnsi="仿宋" w:eastAsia="仿宋" w:cs="仿宋"/>
          <w:sz w:val="24"/>
          <w:szCs w:val="24"/>
          <w:lang w:eastAsia="zh-CN"/>
        </w:rPr>
        <w:t>乙方</w:t>
      </w:r>
      <w:r>
        <w:rPr>
          <w:rFonts w:hint="eastAsia" w:ascii="仿宋" w:hAnsi="仿宋" w:eastAsia="仿宋" w:cs="仿宋"/>
          <w:sz w:val="24"/>
          <w:szCs w:val="24"/>
        </w:rPr>
        <w:t>违约导致</w:t>
      </w:r>
      <w:r>
        <w:rPr>
          <w:rFonts w:hint="eastAsia" w:ascii="仿宋" w:hAnsi="仿宋" w:eastAsia="仿宋" w:cs="仿宋"/>
          <w:sz w:val="24"/>
          <w:szCs w:val="24"/>
          <w:lang w:eastAsia="zh-CN"/>
        </w:rPr>
        <w:t>甲方</w:t>
      </w:r>
      <w:r>
        <w:rPr>
          <w:rFonts w:hint="eastAsia" w:ascii="仿宋" w:hAnsi="仿宋" w:eastAsia="仿宋" w:cs="仿宋"/>
          <w:sz w:val="24"/>
          <w:szCs w:val="24"/>
        </w:rPr>
        <w:t>终止合同的，在</w:t>
      </w:r>
      <w:r>
        <w:rPr>
          <w:rFonts w:hint="eastAsia" w:ascii="仿宋" w:hAnsi="仿宋" w:eastAsia="仿宋" w:cs="仿宋"/>
          <w:sz w:val="24"/>
          <w:szCs w:val="24"/>
          <w:lang w:eastAsia="zh-CN"/>
        </w:rPr>
        <w:t>乙方</w:t>
      </w:r>
      <w:r>
        <w:rPr>
          <w:rFonts w:hint="eastAsia" w:ascii="仿宋" w:hAnsi="仿宋" w:eastAsia="仿宋" w:cs="仿宋"/>
          <w:sz w:val="24"/>
          <w:szCs w:val="24"/>
        </w:rPr>
        <w:t>应将</w:t>
      </w:r>
      <w:r>
        <w:rPr>
          <w:rFonts w:hint="eastAsia" w:ascii="仿宋" w:hAnsi="仿宋" w:eastAsia="仿宋" w:cs="仿宋"/>
          <w:sz w:val="24"/>
          <w:szCs w:val="24"/>
          <w:lang w:eastAsia="zh-CN"/>
        </w:rPr>
        <w:t>甲方</w:t>
      </w:r>
      <w:r>
        <w:rPr>
          <w:rFonts w:hint="eastAsia" w:ascii="仿宋" w:hAnsi="仿宋" w:eastAsia="仿宋" w:cs="仿宋"/>
          <w:sz w:val="24"/>
          <w:szCs w:val="24"/>
        </w:rPr>
        <w:t>已付的所有合同价款及利息退还</w:t>
      </w:r>
      <w:r>
        <w:rPr>
          <w:rFonts w:hint="eastAsia" w:ascii="仿宋" w:hAnsi="仿宋" w:eastAsia="仿宋" w:cs="仿宋"/>
          <w:sz w:val="24"/>
          <w:szCs w:val="24"/>
          <w:lang w:eastAsia="zh-CN"/>
        </w:rPr>
        <w:t>甲方</w:t>
      </w:r>
      <w:r>
        <w:rPr>
          <w:rFonts w:hint="eastAsia" w:ascii="仿宋" w:hAnsi="仿宋" w:eastAsia="仿宋" w:cs="仿宋"/>
          <w:sz w:val="24"/>
          <w:szCs w:val="24"/>
        </w:rPr>
        <w:t>，此后，</w:t>
      </w:r>
      <w:r>
        <w:rPr>
          <w:rFonts w:hint="eastAsia" w:ascii="仿宋" w:hAnsi="仿宋" w:eastAsia="仿宋" w:cs="仿宋"/>
          <w:sz w:val="24"/>
          <w:szCs w:val="24"/>
          <w:lang w:eastAsia="zh-CN"/>
        </w:rPr>
        <w:t>甲方</w:t>
      </w:r>
      <w:r>
        <w:rPr>
          <w:rFonts w:hint="eastAsia" w:ascii="仿宋" w:hAnsi="仿宋" w:eastAsia="仿宋" w:cs="仿宋"/>
          <w:sz w:val="24"/>
          <w:szCs w:val="24"/>
        </w:rPr>
        <w:t>将相关系统成果及资料退还</w:t>
      </w:r>
      <w:r>
        <w:rPr>
          <w:rFonts w:hint="eastAsia" w:ascii="仿宋" w:hAnsi="仿宋" w:eastAsia="仿宋" w:cs="仿宋"/>
          <w:sz w:val="24"/>
          <w:szCs w:val="24"/>
          <w:lang w:eastAsia="zh-CN"/>
        </w:rPr>
        <w:t>乙方</w:t>
      </w:r>
      <w:r>
        <w:rPr>
          <w:rFonts w:hint="eastAsia" w:ascii="仿宋" w:hAnsi="仿宋" w:eastAsia="仿宋" w:cs="仿宋"/>
          <w:sz w:val="24"/>
          <w:szCs w:val="24"/>
        </w:rPr>
        <w:t>，要求</w:t>
      </w:r>
      <w:r>
        <w:rPr>
          <w:rFonts w:hint="eastAsia" w:ascii="仿宋" w:hAnsi="仿宋" w:eastAsia="仿宋" w:cs="仿宋"/>
          <w:sz w:val="24"/>
          <w:szCs w:val="24"/>
          <w:lang w:eastAsia="zh-CN"/>
        </w:rPr>
        <w:t>乙方</w:t>
      </w:r>
      <w:r>
        <w:rPr>
          <w:rFonts w:hint="eastAsia" w:ascii="仿宋" w:hAnsi="仿宋" w:eastAsia="仿宋" w:cs="仿宋"/>
          <w:sz w:val="24"/>
          <w:szCs w:val="24"/>
        </w:rPr>
        <w:t>承担本合同约定的违约责任，</w:t>
      </w:r>
      <w:r>
        <w:rPr>
          <w:rFonts w:hint="eastAsia" w:ascii="仿宋" w:hAnsi="仿宋" w:eastAsia="仿宋" w:cs="仿宋"/>
          <w:sz w:val="24"/>
          <w:szCs w:val="24"/>
          <w:lang w:eastAsia="zh-CN"/>
        </w:rPr>
        <w:t>乙方</w:t>
      </w:r>
      <w:r>
        <w:rPr>
          <w:rFonts w:hint="eastAsia" w:ascii="仿宋" w:hAnsi="仿宋" w:eastAsia="仿宋" w:cs="仿宋"/>
          <w:sz w:val="24"/>
          <w:szCs w:val="24"/>
        </w:rPr>
        <w:t>应支付</w:t>
      </w:r>
      <w:r>
        <w:rPr>
          <w:rFonts w:hint="eastAsia" w:ascii="仿宋" w:hAnsi="仿宋" w:eastAsia="仿宋" w:cs="仿宋"/>
          <w:sz w:val="24"/>
          <w:szCs w:val="24"/>
          <w:lang w:eastAsia="zh-CN"/>
        </w:rPr>
        <w:t>甲方</w:t>
      </w:r>
      <w:r>
        <w:rPr>
          <w:rFonts w:hint="eastAsia" w:ascii="仿宋" w:hAnsi="仿宋" w:eastAsia="仿宋" w:cs="仿宋"/>
          <w:sz w:val="24"/>
          <w:szCs w:val="24"/>
        </w:rPr>
        <w:t>合同总价款的</w:t>
      </w:r>
      <w:permStart w:id="58" w:edGrp="everyone"/>
      <w:r>
        <w:rPr>
          <w:rFonts w:hint="eastAsia" w:ascii="仿宋" w:hAnsi="仿宋" w:eastAsia="仿宋" w:cs="仿宋"/>
          <w:sz w:val="24"/>
          <w:szCs w:val="24"/>
        </w:rPr>
        <w:t>【</w:t>
      </w:r>
      <w:r>
        <w:rPr>
          <w:rFonts w:hint="eastAsia" w:ascii="仿宋" w:hAnsi="仿宋" w:eastAsia="仿宋" w:cs="仿宋"/>
          <w:sz w:val="24"/>
          <w:szCs w:val="24"/>
          <w:lang w:val="en-US" w:eastAsia="zh-CN"/>
        </w:rPr>
        <w:t>20</w:t>
      </w:r>
      <w:r>
        <w:rPr>
          <w:rFonts w:hint="eastAsia" w:ascii="仿宋" w:hAnsi="仿宋" w:eastAsia="仿宋" w:cs="仿宋"/>
          <w:sz w:val="24"/>
          <w:szCs w:val="24"/>
        </w:rPr>
        <w:t>】</w:t>
      </w:r>
      <w:permEnd w:id="58"/>
      <w:r>
        <w:rPr>
          <w:rFonts w:hint="eastAsia" w:ascii="仿宋" w:hAnsi="仿宋" w:eastAsia="仿宋" w:cs="仿宋"/>
          <w:sz w:val="24"/>
          <w:szCs w:val="24"/>
        </w:rPr>
        <w:t>%作为违约金，同时赔偿因此给</w:t>
      </w:r>
      <w:r>
        <w:rPr>
          <w:rFonts w:hint="eastAsia" w:ascii="仿宋" w:hAnsi="仿宋" w:eastAsia="仿宋" w:cs="仿宋"/>
          <w:sz w:val="24"/>
          <w:szCs w:val="24"/>
          <w:lang w:eastAsia="zh-CN"/>
        </w:rPr>
        <w:t>甲方</w:t>
      </w:r>
      <w:r>
        <w:rPr>
          <w:rFonts w:hint="eastAsia" w:ascii="仿宋" w:hAnsi="仿宋" w:eastAsia="仿宋" w:cs="仿宋"/>
          <w:sz w:val="24"/>
          <w:szCs w:val="24"/>
        </w:rPr>
        <w:t>造成的全部损失。</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17.10</w:t>
      </w:r>
      <w:r>
        <w:rPr>
          <w:rFonts w:hint="eastAsia" w:ascii="仿宋" w:hAnsi="仿宋" w:eastAsia="仿宋" w:cs="仿宋"/>
          <w:sz w:val="24"/>
          <w:szCs w:val="24"/>
        </w:rPr>
        <w:t>由于</w:t>
      </w:r>
      <w:r>
        <w:rPr>
          <w:rFonts w:hint="eastAsia" w:ascii="仿宋" w:hAnsi="仿宋" w:eastAsia="仿宋" w:cs="仿宋"/>
          <w:sz w:val="24"/>
          <w:szCs w:val="24"/>
          <w:lang w:eastAsia="zh-CN"/>
        </w:rPr>
        <w:t>乙方</w:t>
      </w:r>
      <w:r>
        <w:rPr>
          <w:rFonts w:hint="eastAsia" w:ascii="仿宋" w:hAnsi="仿宋" w:eastAsia="仿宋" w:cs="仿宋"/>
          <w:sz w:val="24"/>
          <w:szCs w:val="24"/>
        </w:rPr>
        <w:t>的原因导致</w:t>
      </w:r>
      <w:r>
        <w:rPr>
          <w:rFonts w:hint="eastAsia" w:ascii="仿宋" w:hAnsi="仿宋" w:eastAsia="仿宋" w:cs="仿宋"/>
          <w:sz w:val="24"/>
          <w:szCs w:val="24"/>
          <w:lang w:eastAsia="zh-CN"/>
        </w:rPr>
        <w:t>甲方</w:t>
      </w:r>
      <w:r>
        <w:rPr>
          <w:rFonts w:hint="eastAsia" w:ascii="仿宋" w:hAnsi="仿宋" w:eastAsia="仿宋" w:cs="仿宋"/>
          <w:sz w:val="24"/>
          <w:szCs w:val="24"/>
        </w:rPr>
        <w:t>本项目系统中断或系统运行缓慢，致使在实际运营中给</w:t>
      </w:r>
      <w:r>
        <w:rPr>
          <w:rFonts w:hint="eastAsia" w:ascii="仿宋" w:hAnsi="仿宋" w:eastAsia="仿宋" w:cs="仿宋"/>
          <w:sz w:val="24"/>
          <w:szCs w:val="24"/>
          <w:lang w:eastAsia="zh-CN"/>
        </w:rPr>
        <w:t>甲方</w:t>
      </w:r>
      <w:r>
        <w:rPr>
          <w:rFonts w:hint="eastAsia" w:ascii="仿宋" w:hAnsi="仿宋" w:eastAsia="仿宋" w:cs="仿宋"/>
          <w:sz w:val="24"/>
          <w:szCs w:val="24"/>
        </w:rPr>
        <w:t>造成损失的，</w:t>
      </w:r>
      <w:r>
        <w:rPr>
          <w:rFonts w:hint="eastAsia" w:ascii="仿宋" w:hAnsi="仿宋" w:eastAsia="仿宋" w:cs="仿宋"/>
          <w:sz w:val="24"/>
          <w:szCs w:val="24"/>
          <w:lang w:eastAsia="zh-CN"/>
        </w:rPr>
        <w:t>乙方</w:t>
      </w:r>
      <w:r>
        <w:rPr>
          <w:rFonts w:hint="eastAsia" w:ascii="仿宋" w:hAnsi="仿宋" w:eastAsia="仿宋" w:cs="仿宋"/>
          <w:sz w:val="24"/>
          <w:szCs w:val="24"/>
        </w:rPr>
        <w:t>应赔偿</w:t>
      </w:r>
      <w:r>
        <w:rPr>
          <w:rFonts w:hint="eastAsia" w:ascii="仿宋" w:hAnsi="仿宋" w:eastAsia="仿宋" w:cs="仿宋"/>
          <w:sz w:val="24"/>
          <w:szCs w:val="24"/>
          <w:lang w:eastAsia="zh-CN"/>
        </w:rPr>
        <w:t>甲方</w:t>
      </w:r>
      <w:r>
        <w:rPr>
          <w:rFonts w:hint="eastAsia" w:ascii="仿宋" w:hAnsi="仿宋" w:eastAsia="仿宋" w:cs="仿宋"/>
          <w:sz w:val="24"/>
          <w:szCs w:val="24"/>
        </w:rPr>
        <w:t>因此遭受的直接损失和间接损失，同时上述情况每出现一次，</w:t>
      </w:r>
      <w:r>
        <w:rPr>
          <w:rFonts w:hint="eastAsia" w:ascii="仿宋" w:hAnsi="仿宋" w:eastAsia="仿宋" w:cs="仿宋"/>
          <w:sz w:val="24"/>
          <w:szCs w:val="24"/>
          <w:lang w:eastAsia="zh-CN"/>
        </w:rPr>
        <w:t>甲方</w:t>
      </w:r>
      <w:r>
        <w:rPr>
          <w:rFonts w:hint="eastAsia" w:ascii="仿宋" w:hAnsi="仿宋" w:eastAsia="仿宋" w:cs="仿宋"/>
          <w:sz w:val="24"/>
          <w:szCs w:val="24"/>
        </w:rPr>
        <w:t>有权开据处罚单给</w:t>
      </w:r>
      <w:r>
        <w:rPr>
          <w:rFonts w:hint="eastAsia" w:ascii="仿宋" w:hAnsi="仿宋" w:eastAsia="仿宋" w:cs="仿宋"/>
          <w:sz w:val="24"/>
          <w:szCs w:val="24"/>
          <w:lang w:eastAsia="zh-CN"/>
        </w:rPr>
        <w:t>乙方</w:t>
      </w:r>
      <w:r>
        <w:rPr>
          <w:rFonts w:hint="eastAsia" w:ascii="仿宋" w:hAnsi="仿宋" w:eastAsia="仿宋" w:cs="仿宋"/>
          <w:sz w:val="24"/>
          <w:szCs w:val="24"/>
        </w:rPr>
        <w:t>，并直接从合同款中扣除合同总额</w:t>
      </w:r>
      <w:permStart w:id="59" w:edGrp="everyone"/>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permEnd w:id="59"/>
      <w:r>
        <w:rPr>
          <w:rFonts w:hint="eastAsia" w:ascii="仿宋" w:hAnsi="仿宋" w:eastAsia="仿宋" w:cs="仿宋"/>
          <w:sz w:val="24"/>
          <w:szCs w:val="24"/>
        </w:rPr>
        <w:t>‰作为违约金；如累计超过</w:t>
      </w:r>
      <w:permStart w:id="60" w:edGrp="everyone"/>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permEnd w:id="60"/>
      <w:r>
        <w:rPr>
          <w:rFonts w:hint="eastAsia" w:ascii="仿宋" w:hAnsi="仿宋" w:eastAsia="仿宋" w:cs="仿宋"/>
          <w:sz w:val="24"/>
          <w:szCs w:val="24"/>
        </w:rPr>
        <w:t>次，则</w:t>
      </w:r>
      <w:r>
        <w:rPr>
          <w:rFonts w:hint="eastAsia" w:ascii="仿宋" w:hAnsi="仿宋" w:eastAsia="仿宋" w:cs="仿宋"/>
          <w:sz w:val="24"/>
          <w:szCs w:val="24"/>
          <w:lang w:eastAsia="zh-CN"/>
        </w:rPr>
        <w:t>甲方</w:t>
      </w:r>
      <w:r>
        <w:rPr>
          <w:rFonts w:hint="eastAsia" w:ascii="仿宋" w:hAnsi="仿宋" w:eastAsia="仿宋" w:cs="仿宋"/>
          <w:sz w:val="24"/>
          <w:szCs w:val="24"/>
        </w:rPr>
        <w:t>有权终止本合同。</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17.11</w:t>
      </w:r>
      <w:r>
        <w:rPr>
          <w:rFonts w:hint="eastAsia" w:ascii="仿宋" w:hAnsi="仿宋" w:eastAsia="仿宋" w:cs="仿宋"/>
          <w:sz w:val="24"/>
          <w:szCs w:val="24"/>
        </w:rPr>
        <w:t>由于</w:t>
      </w:r>
      <w:r>
        <w:rPr>
          <w:rFonts w:hint="eastAsia" w:ascii="仿宋" w:hAnsi="仿宋" w:eastAsia="仿宋" w:cs="仿宋"/>
          <w:sz w:val="24"/>
          <w:szCs w:val="24"/>
          <w:lang w:eastAsia="zh-CN"/>
        </w:rPr>
        <w:t>乙方</w:t>
      </w:r>
      <w:r>
        <w:rPr>
          <w:rFonts w:hint="eastAsia" w:ascii="仿宋" w:hAnsi="仿宋" w:eastAsia="仿宋" w:cs="仿宋"/>
          <w:sz w:val="24"/>
          <w:szCs w:val="24"/>
        </w:rPr>
        <w:t>的原因导致</w:t>
      </w:r>
      <w:r>
        <w:rPr>
          <w:rFonts w:hint="eastAsia" w:ascii="仿宋" w:hAnsi="仿宋" w:eastAsia="仿宋" w:cs="仿宋"/>
          <w:sz w:val="24"/>
          <w:szCs w:val="24"/>
          <w:lang w:eastAsia="zh-CN"/>
        </w:rPr>
        <w:t>甲方</w:t>
      </w:r>
      <w:r>
        <w:rPr>
          <w:rFonts w:hint="eastAsia" w:ascii="仿宋" w:hAnsi="仿宋" w:eastAsia="仿宋" w:cs="仿宋"/>
          <w:sz w:val="24"/>
          <w:szCs w:val="24"/>
        </w:rPr>
        <w:t>业务数据错误或业务数据丢失，给</w:t>
      </w:r>
      <w:r>
        <w:rPr>
          <w:rFonts w:hint="eastAsia" w:ascii="仿宋" w:hAnsi="仿宋" w:eastAsia="仿宋" w:cs="仿宋"/>
          <w:sz w:val="24"/>
          <w:szCs w:val="24"/>
          <w:lang w:eastAsia="zh-CN"/>
        </w:rPr>
        <w:t>甲方</w:t>
      </w:r>
      <w:r>
        <w:rPr>
          <w:rFonts w:hint="eastAsia" w:ascii="仿宋" w:hAnsi="仿宋" w:eastAsia="仿宋" w:cs="仿宋"/>
          <w:sz w:val="24"/>
          <w:szCs w:val="24"/>
        </w:rPr>
        <w:t>造成损失的，</w:t>
      </w:r>
      <w:r>
        <w:rPr>
          <w:rFonts w:hint="eastAsia" w:ascii="仿宋" w:hAnsi="仿宋" w:eastAsia="仿宋" w:cs="仿宋"/>
          <w:sz w:val="24"/>
          <w:szCs w:val="24"/>
          <w:lang w:eastAsia="zh-CN"/>
        </w:rPr>
        <w:t>乙方</w:t>
      </w:r>
      <w:r>
        <w:rPr>
          <w:rFonts w:hint="eastAsia" w:ascii="仿宋" w:hAnsi="仿宋" w:eastAsia="仿宋" w:cs="仿宋"/>
          <w:sz w:val="24"/>
          <w:szCs w:val="24"/>
        </w:rPr>
        <w:t>应赔偿</w:t>
      </w:r>
      <w:r>
        <w:rPr>
          <w:rFonts w:hint="eastAsia" w:ascii="仿宋" w:hAnsi="仿宋" w:eastAsia="仿宋" w:cs="仿宋"/>
          <w:sz w:val="24"/>
          <w:szCs w:val="24"/>
          <w:lang w:eastAsia="zh-CN"/>
        </w:rPr>
        <w:t>甲方</w:t>
      </w:r>
      <w:r>
        <w:rPr>
          <w:rFonts w:hint="eastAsia" w:ascii="仿宋" w:hAnsi="仿宋" w:eastAsia="仿宋" w:cs="仿宋"/>
          <w:sz w:val="24"/>
          <w:szCs w:val="24"/>
        </w:rPr>
        <w:t>因此遭受的直接损失，如出现一次业务数据错误或业务数据丢失，</w:t>
      </w:r>
      <w:r>
        <w:rPr>
          <w:rFonts w:hint="eastAsia" w:ascii="仿宋" w:hAnsi="仿宋" w:eastAsia="仿宋" w:cs="仿宋"/>
          <w:sz w:val="24"/>
          <w:szCs w:val="24"/>
          <w:lang w:eastAsia="zh-CN"/>
        </w:rPr>
        <w:t>甲方</w:t>
      </w:r>
      <w:r>
        <w:rPr>
          <w:rFonts w:hint="eastAsia" w:ascii="仿宋" w:hAnsi="仿宋" w:eastAsia="仿宋" w:cs="仿宋"/>
          <w:sz w:val="24"/>
          <w:szCs w:val="24"/>
        </w:rPr>
        <w:t>有权开据处罚单给</w:t>
      </w:r>
      <w:r>
        <w:rPr>
          <w:rFonts w:hint="eastAsia" w:ascii="仿宋" w:hAnsi="仿宋" w:eastAsia="仿宋" w:cs="仿宋"/>
          <w:sz w:val="24"/>
          <w:szCs w:val="24"/>
          <w:lang w:eastAsia="zh-CN"/>
        </w:rPr>
        <w:t>乙方</w:t>
      </w:r>
      <w:r>
        <w:rPr>
          <w:rFonts w:hint="eastAsia" w:ascii="仿宋" w:hAnsi="仿宋" w:eastAsia="仿宋" w:cs="仿宋"/>
          <w:sz w:val="24"/>
          <w:szCs w:val="24"/>
        </w:rPr>
        <w:t>，并直接从合同款中扣除合同总额</w:t>
      </w:r>
      <w:permStart w:id="61" w:edGrp="everyone"/>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w:t>
      </w:r>
      <w:permEnd w:id="61"/>
      <w:r>
        <w:rPr>
          <w:rFonts w:hint="eastAsia" w:ascii="仿宋" w:hAnsi="仿宋" w:eastAsia="仿宋" w:cs="仿宋"/>
          <w:sz w:val="24"/>
          <w:szCs w:val="24"/>
        </w:rPr>
        <w:t>%作为违约金。</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17.12</w:t>
      </w:r>
      <w:r>
        <w:rPr>
          <w:rFonts w:hint="eastAsia" w:ascii="仿宋" w:hAnsi="仿宋" w:eastAsia="仿宋" w:cs="仿宋"/>
          <w:sz w:val="24"/>
          <w:szCs w:val="24"/>
          <w:lang w:eastAsia="zh-CN"/>
        </w:rPr>
        <w:t>乙方</w:t>
      </w:r>
      <w:r>
        <w:rPr>
          <w:rFonts w:hint="eastAsia" w:ascii="仿宋" w:hAnsi="仿宋" w:eastAsia="仿宋" w:cs="仿宋"/>
          <w:sz w:val="24"/>
          <w:szCs w:val="24"/>
        </w:rPr>
        <w:t>须保证本项目系统正常稳定运行时间必须高于江苏有线制定的系统可用度考核指标。如由于</w:t>
      </w:r>
      <w:r>
        <w:rPr>
          <w:rFonts w:hint="eastAsia" w:ascii="仿宋" w:hAnsi="仿宋" w:eastAsia="仿宋" w:cs="仿宋"/>
          <w:sz w:val="24"/>
          <w:szCs w:val="24"/>
          <w:lang w:eastAsia="zh-CN"/>
        </w:rPr>
        <w:t>乙方</w:t>
      </w:r>
      <w:r>
        <w:rPr>
          <w:rFonts w:hint="eastAsia" w:ascii="仿宋" w:hAnsi="仿宋" w:eastAsia="仿宋" w:cs="仿宋"/>
          <w:sz w:val="24"/>
          <w:szCs w:val="24"/>
        </w:rPr>
        <w:t>的原因导致出现系统正常运行时间低于系统可用度考核指标的或超过规定故障次数，则</w:t>
      </w:r>
      <w:r>
        <w:rPr>
          <w:rFonts w:hint="eastAsia" w:ascii="仿宋" w:hAnsi="仿宋" w:eastAsia="仿宋" w:cs="仿宋"/>
          <w:sz w:val="24"/>
          <w:szCs w:val="24"/>
          <w:lang w:eastAsia="zh-CN"/>
        </w:rPr>
        <w:t>甲方</w:t>
      </w:r>
      <w:r>
        <w:rPr>
          <w:rFonts w:hint="eastAsia" w:ascii="仿宋" w:hAnsi="仿宋" w:eastAsia="仿宋" w:cs="仿宋"/>
          <w:sz w:val="24"/>
          <w:szCs w:val="24"/>
        </w:rPr>
        <w:t>有权开据处罚单给</w:t>
      </w:r>
      <w:r>
        <w:rPr>
          <w:rFonts w:hint="eastAsia" w:ascii="仿宋" w:hAnsi="仿宋" w:eastAsia="仿宋" w:cs="仿宋"/>
          <w:sz w:val="24"/>
          <w:szCs w:val="24"/>
          <w:lang w:eastAsia="zh-CN"/>
        </w:rPr>
        <w:t>乙方</w:t>
      </w:r>
      <w:r>
        <w:rPr>
          <w:rFonts w:hint="eastAsia" w:ascii="仿宋" w:hAnsi="仿宋" w:eastAsia="仿宋" w:cs="仿宋"/>
          <w:sz w:val="24"/>
          <w:szCs w:val="24"/>
        </w:rPr>
        <w:t>，并直接从合同款应付款中扣除合同总额</w:t>
      </w:r>
      <w:permStart w:id="62" w:edGrp="everyone"/>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w:t>
      </w:r>
      <w:permEnd w:id="62"/>
      <w:r>
        <w:rPr>
          <w:rFonts w:hint="eastAsia" w:ascii="仿宋" w:hAnsi="仿宋" w:eastAsia="仿宋" w:cs="仿宋"/>
          <w:sz w:val="24"/>
          <w:szCs w:val="24"/>
        </w:rPr>
        <w:t>%作为违约金；如连续多个考核周期出现不达标的情况，则翻倍扣除，由</w:t>
      </w:r>
      <w:r>
        <w:rPr>
          <w:rFonts w:hint="eastAsia" w:ascii="仿宋" w:hAnsi="仿宋" w:eastAsia="仿宋" w:cs="仿宋"/>
          <w:sz w:val="24"/>
          <w:szCs w:val="24"/>
          <w:lang w:eastAsia="zh-CN"/>
        </w:rPr>
        <w:t>甲方</w:t>
      </w:r>
      <w:r>
        <w:rPr>
          <w:rFonts w:hint="eastAsia" w:ascii="仿宋" w:hAnsi="仿宋" w:eastAsia="仿宋" w:cs="仿宋"/>
          <w:sz w:val="24"/>
          <w:szCs w:val="24"/>
        </w:rPr>
        <w:t>开据处罚单给</w:t>
      </w:r>
      <w:r>
        <w:rPr>
          <w:rFonts w:hint="eastAsia" w:ascii="仿宋" w:hAnsi="仿宋" w:eastAsia="仿宋" w:cs="仿宋"/>
          <w:sz w:val="24"/>
          <w:szCs w:val="24"/>
          <w:lang w:eastAsia="zh-CN"/>
        </w:rPr>
        <w:t>乙方</w:t>
      </w:r>
      <w:r>
        <w:rPr>
          <w:rFonts w:hint="eastAsia" w:ascii="仿宋" w:hAnsi="仿宋" w:eastAsia="仿宋" w:cs="仿宋"/>
          <w:sz w:val="24"/>
          <w:szCs w:val="24"/>
        </w:rPr>
        <w:t>后，直接从合同应付款中扣除。</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第十八条 廉洁条款</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lang w:val="en-US" w:eastAsia="zh-CN"/>
        </w:rPr>
      </w:pPr>
      <w:r>
        <w:rPr>
          <w:rFonts w:hint="eastAsia" w:ascii="仿宋" w:hAnsi="仿宋" w:eastAsia="仿宋" w:cs="仿宋"/>
          <w:kern w:val="0"/>
          <w:sz w:val="24"/>
          <w:szCs w:val="22"/>
          <w:lang w:val="en-US" w:eastAsia="zh-CN"/>
        </w:rPr>
        <w:t>18.1双方应当共同遵守国家关于企业人员廉洁从业的规定，应通过正常合法的途径开展业务工作。</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lang w:val="en-US" w:eastAsia="zh-CN"/>
        </w:rPr>
      </w:pPr>
      <w:r>
        <w:rPr>
          <w:rFonts w:hint="eastAsia" w:ascii="仿宋" w:hAnsi="仿宋" w:eastAsia="仿宋" w:cs="仿宋"/>
          <w:kern w:val="0"/>
          <w:sz w:val="24"/>
          <w:szCs w:val="22"/>
          <w:lang w:val="en-US" w:eastAsia="zh-CN"/>
        </w:rPr>
        <w:t>18.2乙方及其股东、董事、监事、员工、代理方、顾问以企业或私人名义向甲方工作人员私下直接或间接赠送礼金、贵重礼品、有价证券，提供折扣、回扣、免费服务，或以其他方式变相提供不当利益的，应视为侵害甲方利益，同时构成对本合同的严重违约。乙方应对由此给甲方造成的直接和间接损失进行两倍赔偿，同时甲方有权停止向乙方支付应付款项。</w:t>
      </w:r>
      <w:r>
        <w:rPr>
          <w:rFonts w:hint="eastAsia" w:ascii="仿宋" w:hAnsi="仿宋" w:eastAsia="仿宋" w:cs="仿宋"/>
          <w:kern w:val="0"/>
          <w:sz w:val="24"/>
          <w:szCs w:val="22"/>
        </w:rPr>
        <w:t>如有违反，无论乙方是否实际获得利益，甲方均有权立即</w:t>
      </w:r>
      <w:r>
        <w:rPr>
          <w:rFonts w:hint="eastAsia" w:ascii="仿宋" w:hAnsi="仿宋" w:eastAsia="仿宋" w:cs="仿宋"/>
          <w:kern w:val="0"/>
          <w:sz w:val="24"/>
          <w:szCs w:val="22"/>
          <w:lang w:val="en-US" w:eastAsia="zh-CN"/>
        </w:rPr>
        <w:t>终止本合同且5年内不再与乙方进行任何合作</w:t>
      </w:r>
      <w:r>
        <w:rPr>
          <w:rFonts w:hint="eastAsia" w:ascii="仿宋" w:hAnsi="仿宋" w:eastAsia="仿宋" w:cs="仿宋"/>
          <w:kern w:val="0"/>
          <w:sz w:val="24"/>
          <w:szCs w:val="22"/>
        </w:rPr>
        <w:t>。</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2"/>
          <w:lang w:val="en-US" w:eastAsia="zh-CN"/>
        </w:rPr>
        <w:t>18.3如甲方人员违反上述约定私下向乙方业务人员索贿或遇甲方人员刁难，乙方有义务拒绝并向甲方相关部门举报。</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第十九条 不可抗力</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lang w:val="en-US" w:eastAsia="zh-CN"/>
        </w:rPr>
      </w:pPr>
      <w:r>
        <w:rPr>
          <w:rFonts w:hint="eastAsia" w:ascii="仿宋" w:hAnsi="仿宋" w:eastAsia="仿宋" w:cs="仿宋"/>
          <w:kern w:val="0"/>
          <w:sz w:val="24"/>
          <w:szCs w:val="22"/>
          <w:lang w:val="en-US" w:eastAsia="zh-CN"/>
        </w:rPr>
        <w:t>19.1本合同所称不可抗力是指地震、飓风、水灾、火灾等自然灾害、战争以及其他不能预见、不可避免且不能克服的客观情况。但发生在中国大陆区域外的罢工、示威、游行、战争等军事事件、政治事件，均不应当被作为本合同所称的不可抗力。</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lang w:val="en-US" w:eastAsia="zh-CN"/>
        </w:rPr>
      </w:pPr>
      <w:r>
        <w:rPr>
          <w:rFonts w:hint="eastAsia" w:ascii="仿宋" w:hAnsi="仿宋" w:eastAsia="仿宋" w:cs="仿宋"/>
          <w:kern w:val="0"/>
          <w:sz w:val="24"/>
          <w:szCs w:val="22"/>
          <w:lang w:val="en-US" w:eastAsia="zh-CN"/>
        </w:rPr>
        <w:t>19.2一方因不可抗力不能履行合同的，受不可抗力影响的一方应在不可抗力发生之日起五日内以书面形式通知对方，并在10个工作日内提供事件详情以及有关部门出具的有效证明文件。受不可抗力影响的一方可据此免除全部或部分责任。</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2"/>
          <w:lang w:val="en-US" w:eastAsia="zh-CN"/>
        </w:rPr>
        <w:t>19.3不可抗力发生后，受不可抗力影响的一方应采取合理措施，继续履行合同，减少损失发生。如19.1条款中的不可抗力事件阻碍本合同任何一方履行其在本合同项下的义务，则履行该等义务的时间应予以延长，延长时间相等于该等事件影响的时间。</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第二十条 法律适用与争议解决</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20.1</w:t>
      </w:r>
      <w:r>
        <w:rPr>
          <w:rFonts w:hint="eastAsia" w:ascii="仿宋" w:hAnsi="仿宋" w:eastAsia="仿宋" w:cs="仿宋"/>
          <w:sz w:val="24"/>
          <w:szCs w:val="24"/>
        </w:rPr>
        <w:t>凡由执行本合同引起或与合同有关的争议，均应通过友好协商解决；协商不成的，双方均有权向甲方所在地有管辖权的人民法院提起诉讼。</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20.2</w:t>
      </w:r>
      <w:r>
        <w:rPr>
          <w:rFonts w:hint="eastAsia" w:ascii="仿宋" w:hAnsi="仿宋" w:eastAsia="仿宋" w:cs="仿宋"/>
          <w:sz w:val="24"/>
          <w:szCs w:val="24"/>
        </w:rPr>
        <w:t>诉讼期间，双方继续享有各自在本合同项下的其它权利并应继续履行其在本合同下的相应义务。</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20.3因乙方原因，导致</w:t>
      </w:r>
      <w:r>
        <w:rPr>
          <w:rFonts w:hint="eastAsia" w:ascii="仿宋" w:hAnsi="仿宋" w:eastAsia="仿宋" w:cs="仿宋"/>
          <w:sz w:val="24"/>
          <w:szCs w:val="24"/>
        </w:rPr>
        <w:t>甲方为实现本合同</w:t>
      </w:r>
      <w:r>
        <w:rPr>
          <w:rFonts w:hint="eastAsia" w:ascii="仿宋" w:hAnsi="仿宋" w:eastAsia="仿宋" w:cs="仿宋"/>
          <w:sz w:val="24"/>
          <w:szCs w:val="24"/>
          <w:lang w:val="en-US" w:eastAsia="zh-CN"/>
        </w:rPr>
        <w:t>目的额外</w:t>
      </w:r>
      <w:r>
        <w:rPr>
          <w:rFonts w:hint="eastAsia" w:ascii="仿宋" w:hAnsi="仿宋" w:eastAsia="仿宋" w:cs="仿宋"/>
          <w:sz w:val="24"/>
          <w:szCs w:val="24"/>
        </w:rPr>
        <w:t>发生的各项费用（包括但不限于诉讼费、保全费、保全担保费、仲裁费、执行费、执行保全担保费、评估费、拍卖费、公证费、公告费、律师费、调查费、差旅费和其他费用）均由乙方承担。</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20.4</w:t>
      </w:r>
      <w:r>
        <w:rPr>
          <w:rFonts w:hint="eastAsia" w:ascii="仿宋" w:hAnsi="仿宋" w:eastAsia="仿宋" w:cs="仿宋"/>
          <w:sz w:val="24"/>
          <w:szCs w:val="24"/>
        </w:rPr>
        <w:t>本合同的订立、生效、履行、解释、修改、争议解决和终止等事项适用中华人民共和国大陆地区现行有效的法律法规。</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第二十一条 通知和送达</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rPr>
      </w:pPr>
      <w:r>
        <w:rPr>
          <w:rFonts w:hint="eastAsia" w:ascii="仿宋" w:hAnsi="仿宋" w:eastAsia="仿宋" w:cs="仿宋"/>
          <w:kern w:val="0"/>
          <w:sz w:val="24"/>
          <w:szCs w:val="22"/>
          <w:lang w:val="en-US" w:eastAsia="zh-CN"/>
        </w:rPr>
        <w:t>21.1</w:t>
      </w:r>
      <w:r>
        <w:rPr>
          <w:rFonts w:hint="eastAsia" w:ascii="仿宋" w:hAnsi="仿宋" w:eastAsia="仿宋" w:cs="仿宋"/>
          <w:kern w:val="0"/>
          <w:sz w:val="24"/>
          <w:szCs w:val="22"/>
        </w:rPr>
        <w:t>各方在本合同列示的地址均为各自的送达地址；任何一方的送达地址发生变化的，均应当在送达地址发生变化之日起3个工作日内书面通知对方。各方在向对方列示的任一送达地址送达有关文书时，如果发生收件人拒绝签收或其它无法送达情形的，则从发件人寄出文书之日起视为已经送达对方。各方同意，如因本合同履行产生争议，本合同载明的联系地址可作为诉讼（含仲裁）所有程序中相关法律文书的有效送达地址，按该联系信息送达即视为有效送达。各方之间的通知及往来信函应发送至下列地址、电子邮箱：</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rPr>
      </w:pPr>
      <w:r>
        <w:rPr>
          <w:rFonts w:hint="eastAsia" w:ascii="仿宋" w:hAnsi="仿宋" w:eastAsia="仿宋" w:cs="仿宋"/>
          <w:kern w:val="0"/>
          <w:sz w:val="24"/>
          <w:szCs w:val="22"/>
        </w:rPr>
        <w:t>甲方：【】</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rPr>
      </w:pPr>
      <w:r>
        <w:rPr>
          <w:rFonts w:hint="eastAsia" w:ascii="仿宋" w:hAnsi="仿宋" w:eastAsia="仿宋" w:cs="仿宋"/>
          <w:kern w:val="0"/>
          <w:sz w:val="24"/>
          <w:szCs w:val="22"/>
        </w:rPr>
        <w:t>地址：【】</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rPr>
      </w:pPr>
      <w:r>
        <w:rPr>
          <w:rFonts w:hint="eastAsia" w:ascii="仿宋" w:hAnsi="仿宋" w:eastAsia="仿宋" w:cs="仿宋"/>
          <w:kern w:val="0"/>
          <w:sz w:val="24"/>
          <w:szCs w:val="22"/>
        </w:rPr>
        <w:t>联系人：【】</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rPr>
      </w:pPr>
      <w:r>
        <w:rPr>
          <w:rFonts w:hint="eastAsia" w:ascii="仿宋" w:hAnsi="仿宋" w:eastAsia="仿宋" w:cs="仿宋"/>
          <w:kern w:val="0"/>
          <w:sz w:val="24"/>
          <w:szCs w:val="22"/>
        </w:rPr>
        <w:t>电话：【】</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rPr>
      </w:pPr>
      <w:r>
        <w:rPr>
          <w:rFonts w:hint="eastAsia" w:ascii="仿宋" w:hAnsi="仿宋" w:eastAsia="仿宋" w:cs="仿宋"/>
          <w:kern w:val="0"/>
          <w:sz w:val="24"/>
          <w:szCs w:val="22"/>
        </w:rPr>
        <w:t>电子邮箱：【】</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rPr>
      </w:pPr>
      <w:r>
        <w:rPr>
          <w:rFonts w:hint="eastAsia" w:ascii="仿宋" w:hAnsi="仿宋" w:eastAsia="仿宋" w:cs="仿宋"/>
          <w:kern w:val="0"/>
          <w:sz w:val="24"/>
          <w:szCs w:val="22"/>
        </w:rPr>
        <w:t>乙方：【】</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rPr>
      </w:pPr>
      <w:r>
        <w:rPr>
          <w:rFonts w:hint="eastAsia" w:ascii="仿宋" w:hAnsi="仿宋" w:eastAsia="仿宋" w:cs="仿宋"/>
          <w:kern w:val="0"/>
          <w:sz w:val="24"/>
          <w:szCs w:val="22"/>
        </w:rPr>
        <w:t>地址：【】</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rPr>
      </w:pPr>
      <w:r>
        <w:rPr>
          <w:rFonts w:hint="eastAsia" w:ascii="仿宋" w:hAnsi="仿宋" w:eastAsia="仿宋" w:cs="仿宋"/>
          <w:kern w:val="0"/>
          <w:sz w:val="24"/>
          <w:szCs w:val="22"/>
        </w:rPr>
        <w:t>联系人：【】</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rPr>
      </w:pPr>
      <w:r>
        <w:rPr>
          <w:rFonts w:hint="eastAsia" w:ascii="仿宋" w:hAnsi="仿宋" w:eastAsia="仿宋" w:cs="仿宋"/>
          <w:kern w:val="0"/>
          <w:sz w:val="24"/>
          <w:szCs w:val="22"/>
        </w:rPr>
        <w:t>电话：【】</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2"/>
        </w:rPr>
        <w:t>电子邮箱：【】</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第二十二条 合同生效及其他</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22.1合同的生效期：本合同一式</w:t>
      </w:r>
      <w:permStart w:id="63" w:edGrp="everyone"/>
      <w:r>
        <w:rPr>
          <w:rFonts w:hint="eastAsia" w:ascii="仿宋" w:hAnsi="仿宋" w:eastAsia="仿宋" w:cs="仿宋"/>
          <w:sz w:val="24"/>
          <w:szCs w:val="24"/>
          <w:lang w:val="en-US" w:eastAsia="zh-CN"/>
        </w:rPr>
        <w:t>【肆】</w:t>
      </w:r>
      <w:permEnd w:id="63"/>
      <w:r>
        <w:rPr>
          <w:rFonts w:hint="eastAsia" w:ascii="仿宋" w:hAnsi="仿宋" w:eastAsia="仿宋" w:cs="仿宋"/>
          <w:sz w:val="24"/>
          <w:szCs w:val="24"/>
          <w:lang w:val="en-US" w:eastAsia="zh-CN"/>
        </w:rPr>
        <w:t>份（</w:t>
      </w:r>
      <w:permStart w:id="64" w:edGrp="everyone"/>
      <w:r>
        <w:rPr>
          <w:rFonts w:hint="eastAsia" w:ascii="仿宋" w:hAnsi="仿宋" w:eastAsia="仿宋" w:cs="仿宋"/>
          <w:sz w:val="24"/>
          <w:szCs w:val="24"/>
          <w:lang w:val="en-US" w:eastAsia="zh-CN"/>
        </w:rPr>
        <w:t>甲方【贰】</w:t>
      </w:r>
      <w:permEnd w:id="64"/>
      <w:r>
        <w:rPr>
          <w:rFonts w:hint="eastAsia" w:ascii="仿宋" w:hAnsi="仿宋" w:eastAsia="仿宋" w:cs="仿宋"/>
          <w:sz w:val="24"/>
          <w:szCs w:val="24"/>
          <w:lang w:val="en-US" w:eastAsia="zh-CN"/>
        </w:rPr>
        <w:t>份、</w:t>
      </w:r>
      <w:permStart w:id="65" w:edGrp="everyone"/>
      <w:r>
        <w:rPr>
          <w:rFonts w:hint="eastAsia" w:ascii="仿宋" w:hAnsi="仿宋" w:eastAsia="仿宋" w:cs="仿宋"/>
          <w:sz w:val="24"/>
          <w:szCs w:val="24"/>
          <w:lang w:val="en-US" w:eastAsia="zh-CN"/>
        </w:rPr>
        <w:t>乙方【贰】</w:t>
      </w:r>
      <w:permEnd w:id="65"/>
      <w:r>
        <w:rPr>
          <w:rFonts w:hint="eastAsia" w:ascii="仿宋" w:hAnsi="仿宋" w:eastAsia="仿宋" w:cs="仿宋"/>
          <w:sz w:val="24"/>
          <w:szCs w:val="24"/>
          <w:lang w:val="en-US" w:eastAsia="zh-CN"/>
        </w:rPr>
        <w:t>份），自买卖双方盖章之日起生效。</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22.2本合同所有附件为本合同不可分割的组成部分，与合同正文有同等的法律效力：</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（1）乙方提交的中标通知书；</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（2）甲方的采购文件、乙方的应答文件、乙方的报价表、谈判时乙方做出的书面承诺及其它补充修改的部分；</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（3）在执行本合同期间，买卖双方的所有通知均应采用书面方式。</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22.3本合同与上述文件如对相同内容有不同约定，且约定内容有冲突的，除另有特别约定外，依下列原则处理：</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（1）双方在采购程序中的采购文件、投标文件或响应文件其实质性条款优先于合同条款；</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（2）在后文件的效力优先于在先文件的效力。</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22.4买卖双方对合同条款的理解有争议时，应当按照合同的有关条款、合同的目的、交易习惯以及诚实信用原则，确定该条款的真实含义。</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22.5对本合同的任何修改和增补，以双方另行签订的补充协议为准。</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22.6买卖双方对本合同中产品的具体价格和交易方式有保密的责任，未经对方的书面许可，任何一方不得向第三方透露。</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22.7本合同中的未尽事宜，买卖双方协商解决，并按《中华人民共和国民法典》调整。</w:t>
      </w:r>
    </w:p>
    <w:p>
      <w:pPr>
        <w:widowControl/>
        <w:snapToGrid w:val="0"/>
        <w:spacing w:beforeLines="0" w:line="240" w:lineRule="auto"/>
        <w:ind w:firstLine="482" w:firstLineChars="2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第二十三条 附件列表</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相关文件的优先支配地位的次序如下：</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附件一供货清单（包含产品名称、规格型号和配置、数量和总价）</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附件二分项报价</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（以下无正文）</w:t>
      </w:r>
    </w:p>
    <w:p>
      <w:pPr>
        <w:snapToGrid w:val="0"/>
        <w:spacing w:line="360" w:lineRule="auto"/>
        <w:jc w:val="center"/>
        <w:rPr>
          <w:rFonts w:hint="eastAsia" w:ascii="仿宋" w:hAnsi="仿宋" w:eastAsia="仿宋" w:cs="仿宋"/>
          <w:b/>
          <w:sz w:val="24"/>
        </w:rPr>
      </w:pPr>
      <w:r>
        <w:rPr>
          <w:rFonts w:hint="eastAsia" w:ascii="仿宋" w:hAnsi="仿宋" w:eastAsia="仿宋" w:cs="仿宋"/>
          <w:sz w:val="24"/>
          <w:szCs w:val="24"/>
        </w:rPr>
        <w:br w:type="page"/>
      </w:r>
      <w:bookmarkStart w:id="19" w:name="_Toc246495346"/>
      <w:bookmarkStart w:id="20" w:name="_Hlk83288124"/>
      <w:r>
        <w:rPr>
          <w:rFonts w:hint="eastAsia" w:ascii="仿宋" w:hAnsi="仿宋" w:eastAsia="仿宋" w:cs="仿宋"/>
          <w:b/>
          <w:sz w:val="24"/>
        </w:rPr>
        <w:t>签 署 页</w:t>
      </w:r>
    </w:p>
    <w:tbl>
      <w:tblPr>
        <w:tblStyle w:val="53"/>
        <w:tblW w:w="8688" w:type="dxa"/>
        <w:jc w:val="center"/>
        <w:tblLayout w:type="fixed"/>
        <w:tblCellMar>
          <w:top w:w="0" w:type="dxa"/>
          <w:left w:w="108" w:type="dxa"/>
          <w:bottom w:w="0" w:type="dxa"/>
          <w:right w:w="108" w:type="dxa"/>
        </w:tblCellMar>
      </w:tblPr>
      <w:tblGrid>
        <w:gridCol w:w="4368"/>
        <w:gridCol w:w="4320"/>
      </w:tblGrid>
      <w:tr>
        <w:tblPrEx>
          <w:tblCellMar>
            <w:top w:w="0" w:type="dxa"/>
            <w:left w:w="108" w:type="dxa"/>
            <w:bottom w:w="0" w:type="dxa"/>
            <w:right w:w="108" w:type="dxa"/>
          </w:tblCellMar>
        </w:tblPrEx>
        <w:trPr>
          <w:cantSplit/>
          <w:jc w:val="center"/>
        </w:trPr>
        <w:tc>
          <w:tcPr>
            <w:tcW w:w="4368" w:type="dxa"/>
            <w:noWrap w:val="0"/>
            <w:vAlign w:val="center"/>
          </w:tcPr>
          <w:p>
            <w:pPr>
              <w:snapToGrid w:val="0"/>
              <w:spacing w:line="360" w:lineRule="auto"/>
              <w:jc w:val="left"/>
              <w:rPr>
                <w:rFonts w:hint="eastAsia" w:ascii="仿宋" w:hAnsi="仿宋" w:eastAsia="仿宋" w:cs="仿宋"/>
                <w:sz w:val="24"/>
              </w:rPr>
            </w:pPr>
          </w:p>
          <w:p>
            <w:pPr>
              <w:snapToGrid w:val="0"/>
              <w:spacing w:line="360" w:lineRule="auto"/>
              <w:jc w:val="left"/>
              <w:rPr>
                <w:rFonts w:hint="eastAsia" w:ascii="仿宋" w:hAnsi="仿宋" w:eastAsia="仿宋" w:cs="仿宋"/>
                <w:sz w:val="24"/>
              </w:rPr>
            </w:pPr>
            <w:r>
              <w:rPr>
                <w:rFonts w:hint="eastAsia" w:ascii="仿宋" w:hAnsi="仿宋" w:eastAsia="仿宋" w:cs="仿宋"/>
                <w:sz w:val="24"/>
              </w:rPr>
              <w:t>甲方：</w:t>
            </w:r>
            <w:permStart w:id="66" w:edGrp="everyone"/>
            <w:r>
              <w:rPr>
                <w:rFonts w:hint="eastAsia" w:ascii="仿宋" w:hAnsi="仿宋" w:eastAsia="仿宋" w:cs="仿宋"/>
                <w:sz w:val="24"/>
              </w:rPr>
              <w:t xml:space="preserve">                    </w:t>
            </w:r>
            <w:permEnd w:id="66"/>
          </w:p>
          <w:p>
            <w:pPr>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（盖章）     </w:t>
            </w:r>
          </w:p>
          <w:p>
            <w:pPr>
              <w:snapToGrid w:val="0"/>
              <w:spacing w:line="360" w:lineRule="auto"/>
              <w:jc w:val="left"/>
              <w:rPr>
                <w:rFonts w:hint="eastAsia" w:ascii="仿宋" w:hAnsi="仿宋" w:eastAsia="仿宋" w:cs="仿宋"/>
                <w:sz w:val="24"/>
              </w:rPr>
            </w:pPr>
          </w:p>
        </w:tc>
        <w:tc>
          <w:tcPr>
            <w:tcW w:w="4320" w:type="dxa"/>
            <w:noWrap w:val="0"/>
            <w:vAlign w:val="center"/>
          </w:tcPr>
          <w:p>
            <w:pPr>
              <w:snapToGrid w:val="0"/>
              <w:spacing w:line="360" w:lineRule="auto"/>
              <w:jc w:val="left"/>
              <w:rPr>
                <w:rFonts w:hint="eastAsia" w:ascii="仿宋" w:hAnsi="仿宋" w:eastAsia="仿宋" w:cs="仿宋"/>
                <w:sz w:val="24"/>
              </w:rPr>
            </w:pPr>
          </w:p>
          <w:p>
            <w:pPr>
              <w:snapToGrid w:val="0"/>
              <w:spacing w:line="360" w:lineRule="auto"/>
              <w:jc w:val="left"/>
              <w:rPr>
                <w:rFonts w:hint="eastAsia" w:ascii="仿宋" w:hAnsi="仿宋" w:eastAsia="仿宋" w:cs="仿宋"/>
                <w:sz w:val="24"/>
              </w:rPr>
            </w:pPr>
            <w:r>
              <w:rPr>
                <w:rFonts w:hint="eastAsia" w:ascii="仿宋" w:hAnsi="仿宋" w:eastAsia="仿宋" w:cs="仿宋"/>
                <w:sz w:val="24"/>
              </w:rPr>
              <w:t>乙方：</w:t>
            </w:r>
            <w:permStart w:id="67" w:edGrp="everyone"/>
            <w:r>
              <w:rPr>
                <w:rFonts w:hint="eastAsia" w:ascii="仿宋" w:hAnsi="仿宋" w:eastAsia="仿宋" w:cs="仿宋"/>
                <w:sz w:val="24"/>
              </w:rPr>
              <w:t xml:space="preserve">                    </w:t>
            </w:r>
            <w:permEnd w:id="67"/>
            <w:r>
              <w:rPr>
                <w:rFonts w:hint="eastAsia" w:ascii="仿宋" w:hAnsi="仿宋" w:eastAsia="仿宋" w:cs="仿宋"/>
                <w:sz w:val="24"/>
              </w:rPr>
              <w:t xml:space="preserve"> </w:t>
            </w:r>
          </w:p>
          <w:p>
            <w:pPr>
              <w:snapToGrid w:val="0"/>
              <w:spacing w:line="360" w:lineRule="auto"/>
              <w:jc w:val="left"/>
              <w:rPr>
                <w:rFonts w:hint="eastAsia" w:ascii="仿宋" w:hAnsi="仿宋" w:eastAsia="仿宋" w:cs="仿宋"/>
                <w:sz w:val="24"/>
              </w:rPr>
            </w:pPr>
            <w:r>
              <w:rPr>
                <w:rFonts w:hint="eastAsia" w:ascii="仿宋" w:hAnsi="仿宋" w:eastAsia="仿宋" w:cs="仿宋"/>
                <w:sz w:val="24"/>
              </w:rPr>
              <w:t>（盖章）</w:t>
            </w:r>
          </w:p>
          <w:p>
            <w:pPr>
              <w:snapToGrid w:val="0"/>
              <w:spacing w:line="360" w:lineRule="auto"/>
              <w:jc w:val="left"/>
              <w:rPr>
                <w:rFonts w:hint="eastAsia" w:ascii="仿宋" w:hAnsi="仿宋" w:eastAsia="仿宋" w:cs="仿宋"/>
                <w:sz w:val="24"/>
              </w:rPr>
            </w:pPr>
          </w:p>
        </w:tc>
      </w:tr>
      <w:tr>
        <w:tblPrEx>
          <w:tblCellMar>
            <w:top w:w="0" w:type="dxa"/>
            <w:left w:w="108" w:type="dxa"/>
            <w:bottom w:w="0" w:type="dxa"/>
            <w:right w:w="108" w:type="dxa"/>
          </w:tblCellMar>
        </w:tblPrEx>
        <w:trPr>
          <w:jc w:val="center"/>
        </w:trPr>
        <w:tc>
          <w:tcPr>
            <w:tcW w:w="4368" w:type="dxa"/>
            <w:noWrap w:val="0"/>
            <w:vAlign w:val="bottom"/>
          </w:tcPr>
          <w:p>
            <w:pPr>
              <w:pStyle w:val="375"/>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法定代表人(负责人)或</w:t>
            </w:r>
          </w:p>
          <w:p>
            <w:pPr>
              <w:pStyle w:val="375"/>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授权代表（签字）：</w:t>
            </w:r>
            <w:permStart w:id="68" w:edGrp="everyone"/>
            <w:r>
              <w:rPr>
                <w:rFonts w:hint="eastAsia" w:ascii="仿宋" w:hAnsi="仿宋" w:eastAsia="仿宋" w:cs="仿宋"/>
                <w:color w:val="000000"/>
                <w:sz w:val="24"/>
                <w:szCs w:val="24"/>
              </w:rPr>
              <w:t xml:space="preserve">        </w:t>
            </w:r>
            <w:permEnd w:id="68"/>
          </w:p>
        </w:tc>
        <w:tc>
          <w:tcPr>
            <w:tcW w:w="4320" w:type="dxa"/>
            <w:noWrap w:val="0"/>
            <w:vAlign w:val="bottom"/>
          </w:tcPr>
          <w:p>
            <w:pPr>
              <w:pStyle w:val="375"/>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法定代表人(负责人)或</w:t>
            </w:r>
          </w:p>
          <w:p>
            <w:pPr>
              <w:pStyle w:val="375"/>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授权代表（签字）：</w:t>
            </w:r>
            <w:permStart w:id="69" w:edGrp="everyone"/>
            <w:r>
              <w:rPr>
                <w:rFonts w:hint="eastAsia" w:ascii="仿宋" w:hAnsi="仿宋" w:eastAsia="仿宋" w:cs="仿宋"/>
                <w:color w:val="000000"/>
                <w:sz w:val="24"/>
                <w:szCs w:val="24"/>
              </w:rPr>
              <w:t xml:space="preserve">        </w:t>
            </w:r>
            <w:permEnd w:id="69"/>
          </w:p>
        </w:tc>
      </w:tr>
      <w:tr>
        <w:tblPrEx>
          <w:tblCellMar>
            <w:top w:w="0" w:type="dxa"/>
            <w:left w:w="108" w:type="dxa"/>
            <w:bottom w:w="0" w:type="dxa"/>
            <w:right w:w="108" w:type="dxa"/>
          </w:tblCellMar>
        </w:tblPrEx>
        <w:trPr>
          <w:jc w:val="center"/>
        </w:trPr>
        <w:tc>
          <w:tcPr>
            <w:tcW w:w="4368" w:type="dxa"/>
            <w:noWrap w:val="0"/>
            <w:vAlign w:val="center"/>
          </w:tcPr>
          <w:p>
            <w:pPr>
              <w:pStyle w:val="375"/>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签订日期：</w:t>
            </w:r>
            <w:permStart w:id="70" w:edGrp="everyone"/>
            <w:r>
              <w:rPr>
                <w:rFonts w:hint="eastAsia" w:ascii="仿宋" w:hAnsi="仿宋" w:eastAsia="仿宋" w:cs="仿宋"/>
                <w:color w:val="000000"/>
                <w:sz w:val="24"/>
                <w:szCs w:val="24"/>
              </w:rPr>
              <w:t xml:space="preserve">    年   月   日</w:t>
            </w:r>
            <w:permEnd w:id="70"/>
          </w:p>
        </w:tc>
        <w:tc>
          <w:tcPr>
            <w:tcW w:w="4320" w:type="dxa"/>
            <w:noWrap w:val="0"/>
            <w:vAlign w:val="center"/>
          </w:tcPr>
          <w:p>
            <w:pPr>
              <w:pStyle w:val="375"/>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签订日期：</w:t>
            </w:r>
            <w:permStart w:id="71" w:edGrp="everyone"/>
            <w:r>
              <w:rPr>
                <w:rFonts w:hint="eastAsia" w:ascii="仿宋" w:hAnsi="仿宋" w:eastAsia="仿宋" w:cs="仿宋"/>
                <w:color w:val="000000"/>
                <w:sz w:val="24"/>
                <w:szCs w:val="24"/>
              </w:rPr>
              <w:t xml:space="preserve">    年   月   日</w:t>
            </w:r>
            <w:permEnd w:id="71"/>
          </w:p>
        </w:tc>
      </w:tr>
      <w:tr>
        <w:tblPrEx>
          <w:tblCellMar>
            <w:top w:w="0" w:type="dxa"/>
            <w:left w:w="108" w:type="dxa"/>
            <w:bottom w:w="0" w:type="dxa"/>
            <w:right w:w="108" w:type="dxa"/>
          </w:tblCellMar>
        </w:tblPrEx>
        <w:trPr>
          <w:jc w:val="center"/>
        </w:trPr>
        <w:tc>
          <w:tcPr>
            <w:tcW w:w="4368" w:type="dxa"/>
            <w:noWrap w:val="0"/>
            <w:vAlign w:val="center"/>
          </w:tcPr>
          <w:p>
            <w:pPr>
              <w:pStyle w:val="375"/>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联系人：</w:t>
            </w:r>
            <w:permStart w:id="72" w:edGrp="everyone"/>
            <w:r>
              <w:rPr>
                <w:rFonts w:hint="eastAsia" w:ascii="仿宋" w:hAnsi="仿宋" w:eastAsia="仿宋" w:cs="仿宋"/>
                <w:color w:val="000000"/>
                <w:sz w:val="24"/>
                <w:szCs w:val="24"/>
              </w:rPr>
              <w:t xml:space="preserve">                  </w:t>
            </w:r>
            <w:permEnd w:id="72"/>
          </w:p>
        </w:tc>
        <w:tc>
          <w:tcPr>
            <w:tcW w:w="4320" w:type="dxa"/>
            <w:noWrap w:val="0"/>
            <w:vAlign w:val="center"/>
          </w:tcPr>
          <w:p>
            <w:pPr>
              <w:pStyle w:val="375"/>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联系人：</w:t>
            </w:r>
            <w:permStart w:id="73" w:edGrp="everyone"/>
            <w:r>
              <w:rPr>
                <w:rFonts w:hint="eastAsia" w:ascii="仿宋" w:hAnsi="仿宋" w:eastAsia="仿宋" w:cs="仿宋"/>
                <w:color w:val="000000"/>
                <w:sz w:val="24"/>
                <w:szCs w:val="24"/>
              </w:rPr>
              <w:t xml:space="preserve">                  </w:t>
            </w:r>
            <w:permEnd w:id="73"/>
          </w:p>
        </w:tc>
      </w:tr>
      <w:tr>
        <w:tblPrEx>
          <w:tblCellMar>
            <w:top w:w="0" w:type="dxa"/>
            <w:left w:w="108" w:type="dxa"/>
            <w:bottom w:w="0" w:type="dxa"/>
            <w:right w:w="108" w:type="dxa"/>
          </w:tblCellMar>
        </w:tblPrEx>
        <w:trPr>
          <w:jc w:val="center"/>
        </w:trPr>
        <w:tc>
          <w:tcPr>
            <w:tcW w:w="4368" w:type="dxa"/>
            <w:noWrap w:val="0"/>
            <w:vAlign w:val="center"/>
          </w:tcPr>
          <w:p>
            <w:pPr>
              <w:pStyle w:val="375"/>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联系地址：</w:t>
            </w:r>
            <w:permStart w:id="74" w:edGrp="everyone"/>
            <w:r>
              <w:rPr>
                <w:rFonts w:hint="eastAsia" w:ascii="仿宋" w:hAnsi="仿宋" w:eastAsia="仿宋" w:cs="仿宋"/>
                <w:color w:val="000000"/>
                <w:sz w:val="24"/>
                <w:szCs w:val="24"/>
              </w:rPr>
              <w:t xml:space="preserve">                </w:t>
            </w:r>
            <w:permEnd w:id="74"/>
          </w:p>
        </w:tc>
        <w:tc>
          <w:tcPr>
            <w:tcW w:w="4320" w:type="dxa"/>
            <w:noWrap w:val="0"/>
            <w:vAlign w:val="center"/>
          </w:tcPr>
          <w:p>
            <w:pPr>
              <w:pStyle w:val="375"/>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联系地址：</w:t>
            </w:r>
            <w:permStart w:id="75" w:edGrp="everyone"/>
            <w:r>
              <w:rPr>
                <w:rFonts w:hint="eastAsia" w:ascii="仿宋" w:hAnsi="仿宋" w:eastAsia="仿宋" w:cs="仿宋"/>
                <w:color w:val="000000"/>
                <w:sz w:val="24"/>
                <w:szCs w:val="24"/>
              </w:rPr>
              <w:t xml:space="preserve">                </w:t>
            </w:r>
            <w:permEnd w:id="75"/>
          </w:p>
        </w:tc>
      </w:tr>
      <w:tr>
        <w:tblPrEx>
          <w:tblCellMar>
            <w:top w:w="0" w:type="dxa"/>
            <w:left w:w="108" w:type="dxa"/>
            <w:bottom w:w="0" w:type="dxa"/>
            <w:right w:w="108" w:type="dxa"/>
          </w:tblCellMar>
        </w:tblPrEx>
        <w:trPr>
          <w:jc w:val="center"/>
        </w:trPr>
        <w:tc>
          <w:tcPr>
            <w:tcW w:w="4368" w:type="dxa"/>
            <w:noWrap w:val="0"/>
            <w:vAlign w:val="center"/>
          </w:tcPr>
          <w:p>
            <w:pPr>
              <w:pStyle w:val="375"/>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ermStart w:id="76" w:edGrp="everyone"/>
            <w:r>
              <w:rPr>
                <w:rFonts w:hint="eastAsia" w:ascii="仿宋" w:hAnsi="仿宋" w:eastAsia="仿宋" w:cs="仿宋"/>
                <w:color w:val="000000"/>
                <w:sz w:val="24"/>
                <w:szCs w:val="24"/>
              </w:rPr>
              <w:t xml:space="preserve">                </w:t>
            </w:r>
            <w:permEnd w:id="76"/>
          </w:p>
        </w:tc>
        <w:tc>
          <w:tcPr>
            <w:tcW w:w="4320" w:type="dxa"/>
            <w:noWrap w:val="0"/>
            <w:vAlign w:val="center"/>
          </w:tcPr>
          <w:p>
            <w:pPr>
              <w:pStyle w:val="375"/>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ermStart w:id="77" w:edGrp="everyone"/>
            <w:r>
              <w:rPr>
                <w:rFonts w:hint="eastAsia" w:ascii="仿宋" w:hAnsi="仿宋" w:eastAsia="仿宋" w:cs="仿宋"/>
                <w:color w:val="000000"/>
                <w:sz w:val="24"/>
                <w:szCs w:val="24"/>
              </w:rPr>
              <w:t xml:space="preserve">                </w:t>
            </w:r>
            <w:permEnd w:id="77"/>
          </w:p>
        </w:tc>
      </w:tr>
      <w:bookmarkEnd w:id="19"/>
      <w:bookmarkEnd w:id="20"/>
    </w:tbl>
    <w:p>
      <w:pPr>
        <w:widowControl/>
        <w:spacing w:line="360" w:lineRule="auto"/>
        <w:jc w:val="left"/>
        <w:rPr>
          <w:rFonts w:ascii="仿宋" w:hAnsi="仿宋" w:eastAsia="仿宋"/>
          <w:sz w:val="24"/>
          <w:szCs w:val="24"/>
        </w:rPr>
      </w:pPr>
      <w:r>
        <w:rPr>
          <w:rFonts w:ascii="仿宋" w:hAnsi="仿宋" w:eastAsia="仿宋"/>
          <w:sz w:val="24"/>
          <w:szCs w:val="24"/>
        </w:rPr>
        <w:br w:type="page"/>
      </w:r>
    </w:p>
    <w:p>
      <w:pPr>
        <w:widowControl/>
        <w:spacing w:line="360" w:lineRule="auto"/>
        <w:jc w:val="left"/>
        <w:rPr>
          <w:rFonts w:ascii="仿宋" w:hAnsi="仿宋" w:eastAsia="仿宋"/>
          <w:sz w:val="24"/>
          <w:szCs w:val="24"/>
        </w:rPr>
      </w:pP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sz w:val="24"/>
          <w:szCs w:val="24"/>
          <w:lang w:val="en-US" w:eastAsia="zh-CN"/>
        </w:rPr>
        <w:t>附件一：</w:t>
      </w:r>
      <w:r>
        <w:rPr>
          <w:rFonts w:hint="eastAsia" w:ascii="仿宋" w:hAnsi="仿宋" w:eastAsia="仿宋" w:cs="仿宋"/>
          <w:sz w:val="24"/>
          <w:szCs w:val="24"/>
          <w:lang w:val="en-US" w:eastAsia="zh-CN"/>
        </w:rPr>
        <w:t>供货清单</w:t>
      </w:r>
    </w:p>
    <w:p>
      <w:pPr>
        <w:keepNext w:val="0"/>
        <w:keepLines w:val="0"/>
        <w:pageBreakBefore w:val="0"/>
        <w:tabs>
          <w:tab w:val="left" w:pos="0"/>
          <w:tab w:val="left" w:pos="1155"/>
        </w:tabs>
        <w:kinsoku/>
        <w:wordWrap/>
        <w:overflowPunct/>
        <w:topLinePunct w:val="0"/>
        <w:autoSpaceDE/>
        <w:autoSpaceDN/>
        <w:bidi w:val="0"/>
        <w:adjustRightInd/>
        <w:snapToGrid w:val="0"/>
        <w:spacing w:line="240" w:lineRule="auto"/>
        <w:textAlignment w:val="auto"/>
        <w:rPr>
          <w:sz w:val="22"/>
          <w:szCs w:val="22"/>
        </w:rPr>
      </w:pPr>
      <w:r>
        <w:rPr>
          <w:rFonts w:hint="eastAsia" w:ascii="仿宋" w:hAnsi="仿宋" w:eastAsia="仿宋" w:cs="仿宋"/>
          <w:sz w:val="24"/>
          <w:szCs w:val="24"/>
          <w:lang w:val="en-US" w:eastAsia="zh-CN"/>
        </w:rPr>
        <w:t>附件二：分项报价</w:t>
      </w:r>
    </w:p>
    <w:p>
      <w:pPr>
        <w:spacing w:line="300" w:lineRule="auto"/>
        <w:ind w:firstLine="5280" w:firstLineChars="2400"/>
        <w:rPr>
          <w:sz w:val="22"/>
          <w:szCs w:val="22"/>
        </w:rPr>
      </w:pPr>
      <w:r>
        <w:rPr>
          <w:sz w:val="22"/>
          <w:szCs w:val="22"/>
        </w:rPr>
        <w:br w:type="page"/>
      </w:r>
    </w:p>
    <w:p>
      <w:pPr>
        <w:spacing w:line="300" w:lineRule="auto"/>
        <w:ind w:firstLine="5040" w:firstLineChars="2400"/>
        <w:rPr>
          <w:rFonts w:ascii="宋体" w:hAnsi="宋体" w:cs="宋体"/>
          <w:color w:val="000000"/>
        </w:rPr>
      </w:pPr>
    </w:p>
    <w:p>
      <w:pPr>
        <w:pStyle w:val="2"/>
        <w:numPr>
          <w:ilvl w:val="0"/>
          <w:numId w:val="0"/>
        </w:numPr>
        <w:spacing w:before="0" w:after="0" w:line="360" w:lineRule="auto"/>
        <w:rPr>
          <w:b/>
          <w:sz w:val="36"/>
          <w:szCs w:val="36"/>
        </w:rPr>
      </w:pPr>
      <w:bookmarkStart w:id="21" w:name="_Toc69378637"/>
      <w:r>
        <w:rPr>
          <w:rFonts w:hint="eastAsia"/>
          <w:b/>
          <w:sz w:val="36"/>
          <w:szCs w:val="36"/>
        </w:rPr>
        <w:t>第五章 技术需求书</w:t>
      </w:r>
      <w:bookmarkEnd w:id="21"/>
    </w:p>
    <w:bookmarkEnd w:id="14"/>
    <w:bookmarkEnd w:id="15"/>
    <w:bookmarkEnd w:id="16"/>
    <w:p>
      <w:pPr>
        <w:spacing w:line="360" w:lineRule="auto"/>
        <w:rPr>
          <w:rFonts w:ascii="宋体" w:hAnsi="宋体"/>
          <w:b/>
          <w:color w:val="000000"/>
          <w:szCs w:val="21"/>
        </w:rPr>
      </w:pPr>
      <w:bookmarkStart w:id="22" w:name="_Toc512356033"/>
      <w:bookmarkStart w:id="23" w:name="_Hlk530059459"/>
      <w:bookmarkStart w:id="24" w:name="_Toc454971823"/>
      <w:bookmarkStart w:id="25" w:name="_Toc69378657"/>
      <w:bookmarkStart w:id="26" w:name="_Toc502914229"/>
      <w:r>
        <w:rPr>
          <w:rFonts w:hint="eastAsia" w:ascii="宋体" w:hAnsi="宋体"/>
          <w:b/>
          <w:color w:val="000000"/>
          <w:szCs w:val="21"/>
        </w:rPr>
        <w:t>说明：</w:t>
      </w:r>
    </w:p>
    <w:p>
      <w:pPr>
        <w:tabs>
          <w:tab w:val="left" w:pos="0"/>
        </w:tabs>
        <w:adjustRightInd w:val="0"/>
        <w:snapToGrid w:val="0"/>
        <w:spacing w:line="360" w:lineRule="auto"/>
        <w:ind w:firstLine="440" w:firstLineChars="200"/>
        <w:rPr>
          <w:rFonts w:ascii="宋体" w:hAnsi="宋体"/>
          <w:sz w:val="22"/>
          <w:szCs w:val="22"/>
        </w:rPr>
      </w:pPr>
      <w:r>
        <w:rPr>
          <w:rFonts w:hint="eastAsia" w:ascii="宋体" w:hAnsi="宋体"/>
          <w:sz w:val="22"/>
          <w:szCs w:val="22"/>
        </w:rPr>
        <w:t>1、供应商须对照本《技术需求书》，依据供应商本身产品说明书及样本，逐条说明所提供货物和服务已对采购文件的技术规格、参数与要求做出了实质性的响应，或申明与技术规格、参数与要求条文的偏差和例外（按第六章 附件 技术需求偏离表格式填写），对于可以用量化形式表示的条款，供应商必须明确回答，或以功能描述回答。任何通过简单拷贝采购文件技术要求或简单标注“符合”“满足”的响应文件将可能导致废标。</w:t>
      </w:r>
      <w:r>
        <w:rPr>
          <w:rFonts w:ascii="宋体" w:hAnsi="宋体"/>
          <w:sz w:val="22"/>
          <w:szCs w:val="22"/>
        </w:rPr>
        <w:t>中标后中标人在合同</w:t>
      </w:r>
      <w:r>
        <w:rPr>
          <w:rFonts w:hint="eastAsia" w:ascii="宋体" w:hAnsi="宋体"/>
          <w:sz w:val="22"/>
          <w:szCs w:val="22"/>
        </w:rPr>
        <w:t>签订</w:t>
      </w:r>
      <w:r>
        <w:rPr>
          <w:rFonts w:ascii="宋体" w:hAnsi="宋体"/>
          <w:sz w:val="22"/>
          <w:szCs w:val="22"/>
        </w:rPr>
        <w:t>中的任何偏差都不得超越</w:t>
      </w:r>
      <w:r>
        <w:rPr>
          <w:rFonts w:hint="eastAsia" w:ascii="宋体" w:hAnsi="宋体"/>
          <w:sz w:val="22"/>
          <w:szCs w:val="22"/>
        </w:rPr>
        <w:t>技术</w:t>
      </w:r>
      <w:r>
        <w:rPr>
          <w:rFonts w:ascii="宋体" w:hAnsi="宋体"/>
          <w:sz w:val="22"/>
          <w:szCs w:val="22"/>
        </w:rPr>
        <w:t>偏</w:t>
      </w:r>
      <w:r>
        <w:rPr>
          <w:rFonts w:hint="eastAsia" w:ascii="宋体" w:hAnsi="宋体"/>
          <w:sz w:val="22"/>
          <w:szCs w:val="22"/>
        </w:rPr>
        <w:t>离</w:t>
      </w:r>
      <w:r>
        <w:rPr>
          <w:rFonts w:ascii="宋体" w:hAnsi="宋体"/>
          <w:sz w:val="22"/>
          <w:szCs w:val="22"/>
        </w:rPr>
        <w:t>表中已被</w:t>
      </w:r>
      <w:r>
        <w:rPr>
          <w:rFonts w:hint="eastAsia" w:ascii="宋体" w:hAnsi="宋体"/>
          <w:sz w:val="22"/>
          <w:szCs w:val="22"/>
        </w:rPr>
        <w:t>采购人</w:t>
      </w:r>
      <w:r>
        <w:rPr>
          <w:rFonts w:ascii="宋体" w:hAnsi="宋体"/>
          <w:sz w:val="22"/>
          <w:szCs w:val="22"/>
        </w:rPr>
        <w:t>确认的条款。</w:t>
      </w:r>
    </w:p>
    <w:p>
      <w:pPr>
        <w:tabs>
          <w:tab w:val="left" w:pos="0"/>
        </w:tabs>
        <w:adjustRightInd w:val="0"/>
        <w:snapToGrid w:val="0"/>
        <w:spacing w:line="360" w:lineRule="auto"/>
        <w:ind w:firstLine="440" w:firstLineChars="200"/>
        <w:rPr>
          <w:rFonts w:ascii="宋体" w:hAnsi="宋体"/>
          <w:sz w:val="22"/>
          <w:szCs w:val="22"/>
        </w:rPr>
      </w:pPr>
      <w:r>
        <w:rPr>
          <w:rFonts w:hint="eastAsia" w:ascii="宋体" w:hAnsi="宋体"/>
          <w:sz w:val="22"/>
          <w:szCs w:val="22"/>
        </w:rPr>
        <w:t>2、采购文件技术要求中所描述的内容为本项目的基本技术要求，</w:t>
      </w:r>
      <w:r>
        <w:rPr>
          <w:rFonts w:ascii="宋体" w:hAnsi="宋体"/>
          <w:sz w:val="22"/>
          <w:szCs w:val="22"/>
        </w:rPr>
        <w:t>不应作为完整的详细要求。</w:t>
      </w:r>
      <w:r>
        <w:rPr>
          <w:rFonts w:hint="eastAsia" w:ascii="宋体" w:hAnsi="宋体"/>
          <w:sz w:val="22"/>
          <w:szCs w:val="22"/>
        </w:rPr>
        <w:t>对于为满足正常运行所需的设备材料的供应、安装、调试、验收及质量保证的内容请供应商自行考虑。</w:t>
      </w:r>
      <w:r>
        <w:rPr>
          <w:rFonts w:ascii="宋体" w:hAnsi="宋体"/>
          <w:sz w:val="22"/>
          <w:szCs w:val="22"/>
        </w:rPr>
        <w:t>中标人应满足本技术</w:t>
      </w:r>
      <w:r>
        <w:rPr>
          <w:rFonts w:hint="eastAsia" w:ascii="宋体" w:hAnsi="宋体"/>
          <w:sz w:val="22"/>
          <w:szCs w:val="22"/>
        </w:rPr>
        <w:t>需求书</w:t>
      </w:r>
      <w:r>
        <w:rPr>
          <w:rFonts w:ascii="宋体" w:hAnsi="宋体"/>
          <w:sz w:val="22"/>
          <w:szCs w:val="22"/>
        </w:rPr>
        <w:t>中未描述的，但为保证设备能正常有效运行所需要的其它要求和所需的设备与附件。</w:t>
      </w:r>
    </w:p>
    <w:p>
      <w:pPr>
        <w:tabs>
          <w:tab w:val="left" w:pos="0"/>
        </w:tabs>
        <w:adjustRightInd w:val="0"/>
        <w:snapToGrid w:val="0"/>
        <w:spacing w:line="360" w:lineRule="auto"/>
        <w:ind w:firstLine="440" w:firstLineChars="200"/>
        <w:rPr>
          <w:rFonts w:ascii="宋体" w:hAnsi="宋体"/>
          <w:sz w:val="22"/>
          <w:szCs w:val="22"/>
        </w:rPr>
      </w:pPr>
      <w:r>
        <w:rPr>
          <w:rFonts w:hint="eastAsia" w:ascii="宋体" w:hAnsi="宋体"/>
          <w:sz w:val="22"/>
          <w:szCs w:val="22"/>
        </w:rPr>
        <w:t>3、技术需求书中</w:t>
      </w:r>
      <w:r>
        <w:rPr>
          <w:rFonts w:ascii="宋体" w:hAnsi="宋体"/>
          <w:sz w:val="22"/>
          <w:szCs w:val="22"/>
        </w:rPr>
        <w:t>带</w:t>
      </w:r>
      <w:r>
        <w:rPr>
          <w:rFonts w:hint="eastAsia" w:ascii="宋体" w:hAnsi="宋体"/>
          <w:sz w:val="22"/>
          <w:szCs w:val="22"/>
        </w:rPr>
        <w:t>“*”部分为</w:t>
      </w:r>
      <w:r>
        <w:rPr>
          <w:rFonts w:ascii="宋体" w:hAnsi="宋体"/>
          <w:sz w:val="22"/>
          <w:szCs w:val="22"/>
        </w:rPr>
        <w:t>必须保证满足要求</w:t>
      </w:r>
      <w:r>
        <w:rPr>
          <w:rFonts w:hint="eastAsia" w:ascii="宋体" w:hAnsi="宋体"/>
          <w:sz w:val="22"/>
          <w:szCs w:val="22"/>
        </w:rPr>
        <w:t>的条款。</w:t>
      </w:r>
    </w:p>
    <w:p>
      <w:pPr>
        <w:tabs>
          <w:tab w:val="left" w:pos="0"/>
        </w:tabs>
        <w:adjustRightInd w:val="0"/>
        <w:snapToGrid w:val="0"/>
        <w:spacing w:line="360" w:lineRule="auto"/>
        <w:ind w:firstLine="440" w:firstLineChars="200"/>
        <w:rPr>
          <w:rFonts w:ascii="宋体" w:hAnsi="宋体"/>
          <w:sz w:val="22"/>
          <w:szCs w:val="22"/>
        </w:rPr>
      </w:pPr>
      <w:r>
        <w:rPr>
          <w:rFonts w:hint="eastAsia" w:ascii="宋体" w:hAnsi="宋体"/>
          <w:sz w:val="22"/>
          <w:szCs w:val="22"/>
        </w:rPr>
        <w:t>4、</w:t>
      </w:r>
      <w:r>
        <w:rPr>
          <w:rFonts w:ascii="宋体" w:hAnsi="宋体"/>
          <w:sz w:val="22"/>
          <w:szCs w:val="22"/>
        </w:rPr>
        <w:t>在</w:t>
      </w:r>
      <w:r>
        <w:rPr>
          <w:rFonts w:hint="eastAsia" w:ascii="宋体" w:hAnsi="宋体"/>
          <w:sz w:val="22"/>
          <w:szCs w:val="22"/>
        </w:rPr>
        <w:t>响应文件</w:t>
      </w:r>
      <w:r>
        <w:rPr>
          <w:rFonts w:ascii="宋体" w:hAnsi="宋体"/>
          <w:sz w:val="22"/>
          <w:szCs w:val="22"/>
        </w:rPr>
        <w:t>中必须包括对第五章 《技术需求书》的逐项应答，逐项应答必须按照技术偏离表格式，对照</w:t>
      </w:r>
      <w:r>
        <w:rPr>
          <w:rFonts w:hint="eastAsia" w:ascii="宋体" w:hAnsi="宋体"/>
          <w:sz w:val="22"/>
          <w:szCs w:val="22"/>
        </w:rPr>
        <w:t>采购文件</w:t>
      </w:r>
      <w:r>
        <w:rPr>
          <w:rFonts w:ascii="宋体" w:hAnsi="宋体"/>
          <w:sz w:val="22"/>
          <w:szCs w:val="22"/>
        </w:rPr>
        <w:t>技术规格、参数与要求，依据</w:t>
      </w:r>
      <w:r>
        <w:rPr>
          <w:rFonts w:hint="eastAsia" w:ascii="宋体" w:hAnsi="宋体"/>
          <w:sz w:val="22"/>
          <w:szCs w:val="22"/>
        </w:rPr>
        <w:t>供应商</w:t>
      </w:r>
      <w:r>
        <w:rPr>
          <w:rFonts w:ascii="宋体" w:hAnsi="宋体"/>
          <w:sz w:val="22"/>
          <w:szCs w:val="22"/>
        </w:rPr>
        <w:t>本身产品、服务，如实逐条说明所提供货物及/或服务已对</w:t>
      </w:r>
      <w:r>
        <w:rPr>
          <w:rFonts w:hint="eastAsia" w:ascii="宋体" w:hAnsi="宋体"/>
          <w:sz w:val="22"/>
          <w:szCs w:val="22"/>
        </w:rPr>
        <w:t>采购文件</w:t>
      </w:r>
      <w:r>
        <w:rPr>
          <w:rFonts w:ascii="宋体" w:hAnsi="宋体"/>
          <w:sz w:val="22"/>
          <w:szCs w:val="22"/>
        </w:rPr>
        <w:t>的技术规格、参数与要求做出了实质性的响应，或申明与技术规格、参数与要求条文的偏差和例外。技术偏离表填报的内容必须与报价一览表和分项报价表一致。对于可以用量化形式表示的条款，</w:t>
      </w:r>
      <w:r>
        <w:rPr>
          <w:rFonts w:hint="eastAsia" w:ascii="宋体" w:hAnsi="宋体"/>
          <w:sz w:val="22"/>
          <w:szCs w:val="22"/>
        </w:rPr>
        <w:t>供应商</w:t>
      </w:r>
      <w:r>
        <w:rPr>
          <w:rFonts w:ascii="宋体" w:hAnsi="宋体"/>
          <w:sz w:val="22"/>
          <w:szCs w:val="22"/>
        </w:rPr>
        <w:t>必须明确回答，或以功能描述回答。任何通过简单拷贝</w:t>
      </w:r>
      <w:r>
        <w:rPr>
          <w:rFonts w:hint="eastAsia" w:ascii="宋体" w:hAnsi="宋体"/>
          <w:sz w:val="22"/>
          <w:szCs w:val="22"/>
        </w:rPr>
        <w:t>采购文件</w:t>
      </w:r>
      <w:r>
        <w:rPr>
          <w:rFonts w:ascii="宋体" w:hAnsi="宋体"/>
          <w:sz w:val="22"/>
          <w:szCs w:val="22"/>
        </w:rPr>
        <w:t>技术要求或简单标注</w:t>
      </w:r>
      <w:r>
        <w:rPr>
          <w:rFonts w:hint="eastAsia" w:ascii="宋体" w:hAnsi="宋体"/>
          <w:sz w:val="22"/>
          <w:szCs w:val="22"/>
        </w:rPr>
        <w:t>“</w:t>
      </w:r>
      <w:r>
        <w:rPr>
          <w:rFonts w:ascii="宋体" w:hAnsi="宋体"/>
          <w:sz w:val="22"/>
          <w:szCs w:val="22"/>
        </w:rPr>
        <w:t>符合</w:t>
      </w:r>
      <w:r>
        <w:rPr>
          <w:rFonts w:hint="eastAsia" w:ascii="宋体" w:hAnsi="宋体"/>
          <w:sz w:val="22"/>
          <w:szCs w:val="22"/>
        </w:rPr>
        <w:t>”“</w:t>
      </w:r>
      <w:r>
        <w:rPr>
          <w:rFonts w:ascii="宋体" w:hAnsi="宋体"/>
          <w:sz w:val="22"/>
          <w:szCs w:val="22"/>
        </w:rPr>
        <w:t>满足</w:t>
      </w:r>
      <w:r>
        <w:rPr>
          <w:rFonts w:hint="eastAsia" w:ascii="宋体" w:hAnsi="宋体"/>
          <w:sz w:val="22"/>
          <w:szCs w:val="22"/>
        </w:rPr>
        <w:t>”</w:t>
      </w:r>
      <w:r>
        <w:rPr>
          <w:rFonts w:ascii="宋体" w:hAnsi="宋体"/>
          <w:sz w:val="22"/>
          <w:szCs w:val="22"/>
        </w:rPr>
        <w:t>的</w:t>
      </w:r>
      <w:r>
        <w:rPr>
          <w:rFonts w:hint="eastAsia" w:ascii="宋体" w:hAnsi="宋体"/>
          <w:sz w:val="22"/>
          <w:szCs w:val="22"/>
        </w:rPr>
        <w:t>响应文件</w:t>
      </w:r>
      <w:r>
        <w:rPr>
          <w:rFonts w:ascii="宋体" w:hAnsi="宋体"/>
          <w:sz w:val="22"/>
          <w:szCs w:val="22"/>
        </w:rPr>
        <w:t>将可能</w:t>
      </w:r>
      <w:r>
        <w:rPr>
          <w:rFonts w:hint="eastAsia" w:ascii="宋体" w:hAnsi="宋体"/>
          <w:sz w:val="22"/>
          <w:szCs w:val="22"/>
        </w:rPr>
        <w:t>导致废标</w:t>
      </w:r>
      <w:r>
        <w:rPr>
          <w:rFonts w:ascii="宋体" w:hAnsi="宋体"/>
          <w:sz w:val="22"/>
          <w:szCs w:val="22"/>
        </w:rPr>
        <w:t>。</w:t>
      </w:r>
    </w:p>
    <w:p>
      <w:pPr>
        <w:tabs>
          <w:tab w:val="left" w:pos="0"/>
        </w:tabs>
        <w:adjustRightInd w:val="0"/>
        <w:snapToGrid w:val="0"/>
        <w:spacing w:line="360" w:lineRule="auto"/>
        <w:jc w:val="center"/>
        <w:rPr>
          <w:rFonts w:ascii="Tahoma" w:hAnsi="Tahoma"/>
          <w:color w:val="262626"/>
          <w:sz w:val="32"/>
          <w:szCs w:val="28"/>
        </w:rPr>
      </w:pPr>
      <w:r>
        <w:rPr>
          <w:rFonts w:ascii="宋体" w:hAnsi="宋体"/>
          <w:sz w:val="22"/>
          <w:szCs w:val="22"/>
        </w:rPr>
        <w:br w:type="page"/>
      </w:r>
      <w:r>
        <w:rPr>
          <w:rFonts w:eastAsia="黑体"/>
          <w:color w:val="262626"/>
          <w:sz w:val="32"/>
          <w:szCs w:val="28"/>
        </w:rPr>
        <w:t>技术需求书</w:t>
      </w:r>
    </w:p>
    <w:p>
      <w:pPr>
        <w:spacing w:line="360" w:lineRule="auto"/>
        <w:outlineLvl w:val="1"/>
        <w:rPr>
          <w:b/>
          <w:color w:val="262626"/>
          <w:sz w:val="24"/>
        </w:rPr>
      </w:pPr>
      <w:r>
        <w:rPr>
          <w:rFonts w:hint="eastAsia"/>
          <w:b/>
          <w:color w:val="262626"/>
          <w:sz w:val="24"/>
        </w:rPr>
        <w:t>一、综述</w:t>
      </w:r>
    </w:p>
    <w:p>
      <w:pPr>
        <w:spacing w:line="360" w:lineRule="auto"/>
        <w:outlineLvl w:val="1"/>
        <w:rPr>
          <w:rFonts w:ascii="宋体" w:hAnsi="宋体" w:cs="宋体"/>
          <w:b/>
          <w:bCs/>
          <w:szCs w:val="21"/>
        </w:rPr>
      </w:pPr>
      <w:r>
        <w:rPr>
          <w:rFonts w:hint="eastAsia" w:ascii="宋体" w:hAnsi="宋体" w:cs="宋体"/>
          <w:b/>
          <w:bCs/>
          <w:szCs w:val="21"/>
        </w:rPr>
        <w:t>1、说明及技术应答要求</w:t>
      </w:r>
    </w:p>
    <w:p>
      <w:pPr>
        <w:spacing w:line="360" w:lineRule="auto"/>
        <w:jc w:val="left"/>
        <w:outlineLvl w:val="2"/>
        <w:rPr>
          <w:rFonts w:ascii="宋体" w:hAnsi="宋体" w:cs="宋体"/>
          <w:szCs w:val="21"/>
        </w:rPr>
      </w:pPr>
      <w:r>
        <w:rPr>
          <w:rFonts w:hint="eastAsia" w:ascii="宋体" w:hAnsi="宋体" w:cs="宋体"/>
          <w:szCs w:val="21"/>
        </w:rPr>
        <w:t>1.1 说明</w:t>
      </w:r>
    </w:p>
    <w:p>
      <w:pPr>
        <w:pStyle w:val="368"/>
        <w:ind w:firstLine="0"/>
        <w:rPr>
          <w:rFonts w:cs="宋体"/>
        </w:rPr>
      </w:pPr>
      <w:r>
        <w:rPr>
          <w:rFonts w:hint="eastAsia" w:cs="宋体"/>
        </w:rPr>
        <w:t>1）</w:t>
      </w:r>
      <w:r>
        <w:rPr>
          <w:rFonts w:hint="eastAsia" w:cs="宋体"/>
        </w:rPr>
        <w:tab/>
      </w:r>
      <w:r>
        <w:rPr>
          <w:rFonts w:hint="eastAsia" w:cs="宋体"/>
        </w:rPr>
        <w:t>本技术需求书为</w:t>
      </w:r>
      <w:r>
        <w:rPr>
          <w:rFonts w:hint="eastAsia" w:cs="宋体"/>
          <w:b/>
          <w:bCs/>
          <w:u w:val="single"/>
        </w:rPr>
        <w:t>“网络系统脆弱性评估工具采购”</w:t>
      </w:r>
      <w:r>
        <w:rPr>
          <w:rFonts w:hint="eastAsia" w:cs="宋体"/>
        </w:rPr>
        <w:t>项目中网络系统脆弱性评估工具主要技术要求和供货要求，响应文件的技术部分内容响应格式应符合本采购文件的要求。</w:t>
      </w:r>
    </w:p>
    <w:p>
      <w:pPr>
        <w:spacing w:line="360" w:lineRule="auto"/>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供应商应根据本技术需求书的要求，基于自己的产品和技术提供具体、完整的配置方案。供应商在采购文件中给出的设备硬件和软件配置，必须保证采购文件中各项性能和功能承诺指标的实现。设备在各种承诺业务功能同时启用时，不应影响设备性能和稳定性。</w:t>
      </w:r>
    </w:p>
    <w:p>
      <w:pPr>
        <w:spacing w:line="360" w:lineRule="auto"/>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供应商提供所响应的各产品要求为同一品牌，供应商应提供所响应的各产品型号的推出时间。供应商所采购设备应是制造商新推出的产品型号，供应商应保证本次投标的产品在5年内不会因厂家的技术路线调整、技术升级等原因导致停产及不再销售。</w:t>
      </w:r>
    </w:p>
    <w:p>
      <w:pPr>
        <w:spacing w:line="360" w:lineRule="auto"/>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本技术需求书应视为保证网络运行所需的最低要求。如有遗漏，供应商应予以补充，否则一旦中标将认为供应商认同遗漏部分并免费提供。</w:t>
      </w:r>
    </w:p>
    <w:p>
      <w:pPr>
        <w:spacing w:line="360" w:lineRule="auto"/>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采购人在任何时候都保留和拥有对本技术需求书的解释权。</w:t>
      </w:r>
    </w:p>
    <w:p>
      <w:pPr>
        <w:spacing w:line="360" w:lineRule="auto"/>
        <w:outlineLvl w:val="2"/>
        <w:rPr>
          <w:rFonts w:ascii="宋体" w:hAnsi="宋体" w:cs="宋体"/>
          <w:szCs w:val="21"/>
        </w:rPr>
      </w:pPr>
      <w:r>
        <w:rPr>
          <w:rFonts w:hint="eastAsia" w:ascii="宋体" w:hAnsi="宋体" w:cs="宋体"/>
          <w:szCs w:val="21"/>
        </w:rPr>
        <w:t>1.2 技术应答要求</w:t>
      </w:r>
    </w:p>
    <w:p>
      <w:pPr>
        <w:spacing w:line="360" w:lineRule="auto"/>
        <w:rPr>
          <w:rFonts w:ascii="宋体" w:hAnsi="宋体" w:cs="宋体"/>
          <w:szCs w:val="21"/>
        </w:rPr>
      </w:pPr>
      <w:r>
        <w:rPr>
          <w:rFonts w:hint="eastAsia" w:ascii="宋体" w:hAnsi="宋体" w:cs="宋体"/>
          <w:szCs w:val="21"/>
        </w:rPr>
        <w:t>供应商应按照本技术需求书的要求提供响应文件的技术部分，并包含但不限于以下内容：</w:t>
      </w:r>
    </w:p>
    <w:p>
      <w:pPr>
        <w:spacing w:line="360" w:lineRule="auto"/>
        <w:rPr>
          <w:rFonts w:ascii="宋体" w:hAnsi="宋体" w:cs="宋体"/>
          <w:szCs w:val="21"/>
        </w:rPr>
      </w:pPr>
      <w:r>
        <w:rPr>
          <w:rFonts w:hint="eastAsia" w:ascii="宋体" w:hAnsi="宋体" w:cs="宋体"/>
          <w:szCs w:val="21"/>
        </w:rPr>
        <w:t>1.2.1 综述</w:t>
      </w:r>
    </w:p>
    <w:p>
      <w:pPr>
        <w:spacing w:line="360" w:lineRule="auto"/>
        <w:rPr>
          <w:rFonts w:ascii="宋体" w:hAnsi="宋体" w:cs="宋体"/>
          <w:szCs w:val="21"/>
        </w:rPr>
      </w:pPr>
      <w:r>
        <w:rPr>
          <w:rFonts w:hint="eastAsia" w:ascii="宋体" w:hAnsi="宋体" w:cs="宋体"/>
          <w:szCs w:val="21"/>
        </w:rPr>
        <w:t>包括总体技术方案、产品设计原则、供应商的技术优势、第三方测评等内容。供应商应对其主流商用产品及产品线进行详细介绍和技术说明，说明的设备范围应涵盖所有的响应设备及其所在产品线，并能够完全反映响应设备制造商的主流商用产品概况。</w:t>
      </w:r>
    </w:p>
    <w:p>
      <w:pPr>
        <w:spacing w:line="360" w:lineRule="auto"/>
        <w:rPr>
          <w:rFonts w:ascii="宋体" w:hAnsi="宋体" w:cs="宋体"/>
          <w:szCs w:val="21"/>
        </w:rPr>
      </w:pPr>
      <w:r>
        <w:rPr>
          <w:rFonts w:hint="eastAsia" w:ascii="宋体" w:hAnsi="宋体" w:cs="宋体"/>
          <w:szCs w:val="21"/>
        </w:rPr>
        <w:t>1.2.2 供应商所提供的设备(包括软、硬件)和系统建设方案应符合如下技术标准：</w:t>
      </w:r>
    </w:p>
    <w:p>
      <w:pPr>
        <w:spacing w:line="360" w:lineRule="auto"/>
        <w:rPr>
          <w:rFonts w:ascii="宋体" w:hAnsi="宋体" w:cs="宋体"/>
          <w:szCs w:val="21"/>
        </w:rPr>
      </w:pPr>
      <w:r>
        <w:rPr>
          <w:rFonts w:hint="eastAsia" w:ascii="宋体" w:hAnsi="宋体" w:cs="宋体"/>
          <w:szCs w:val="21"/>
        </w:rPr>
        <w:t>a）符合有关国际标准(如ISO、ITU-T、ETSI、IMTC、IETF、IEEE 等国际组织发布的标准、规范和建议等)，供应商应在响应文件中具体说明，并附上相应的详细技术资料。</w:t>
      </w:r>
    </w:p>
    <w:p>
      <w:pPr>
        <w:spacing w:line="360" w:lineRule="auto"/>
        <w:rPr>
          <w:rFonts w:ascii="宋体" w:hAnsi="宋体" w:cs="宋体"/>
          <w:szCs w:val="21"/>
        </w:rPr>
      </w:pPr>
      <w:r>
        <w:rPr>
          <w:rFonts w:hint="eastAsia" w:ascii="宋体" w:hAnsi="宋体" w:cs="宋体"/>
          <w:szCs w:val="21"/>
        </w:rPr>
        <w:t>b）若供应商的设备和系统中包含自己的专用标准，应在响应文件中具体说明，并附上相应的详细技术资料。</w:t>
      </w:r>
    </w:p>
    <w:p>
      <w:pPr>
        <w:spacing w:line="360" w:lineRule="auto"/>
        <w:rPr>
          <w:rFonts w:ascii="宋体" w:hAnsi="宋体" w:cs="宋体"/>
          <w:szCs w:val="21"/>
        </w:rPr>
      </w:pPr>
      <w:r>
        <w:rPr>
          <w:rFonts w:hint="eastAsia" w:ascii="宋体" w:hAnsi="宋体" w:cs="宋体"/>
          <w:szCs w:val="21"/>
        </w:rPr>
        <w:t>c）本文件中未列出但ITU-T 已有建议的，供应商的系统设备性能和功能均应满足ITU-T 最新建议要求。</w:t>
      </w:r>
    </w:p>
    <w:p>
      <w:pPr>
        <w:spacing w:line="360" w:lineRule="auto"/>
        <w:rPr>
          <w:rFonts w:ascii="宋体" w:hAnsi="宋体" w:cs="宋体"/>
          <w:szCs w:val="21"/>
        </w:rPr>
      </w:pPr>
      <w:r>
        <w:rPr>
          <w:rFonts w:hint="eastAsia" w:ascii="宋体" w:hAnsi="宋体" w:cs="宋体"/>
          <w:szCs w:val="21"/>
        </w:rPr>
        <w:t>1.2.3 所有采购设备的技术文档，供应商应针对各种设备逐一说明以下内容：</w:t>
      </w:r>
    </w:p>
    <w:p>
      <w:pPr>
        <w:spacing w:line="360" w:lineRule="auto"/>
        <w:rPr>
          <w:rFonts w:ascii="宋体" w:hAnsi="宋体" w:cs="宋体"/>
          <w:szCs w:val="21"/>
        </w:rPr>
      </w:pPr>
      <w:r>
        <w:rPr>
          <w:rFonts w:hint="eastAsia" w:ascii="宋体" w:hAnsi="宋体" w:cs="宋体"/>
          <w:szCs w:val="21"/>
        </w:rPr>
        <w:t>a）设备功能、性能说明；</w:t>
      </w:r>
    </w:p>
    <w:p>
      <w:pPr>
        <w:spacing w:line="360" w:lineRule="auto"/>
        <w:rPr>
          <w:rFonts w:ascii="宋体" w:hAnsi="宋体" w:cs="宋体"/>
          <w:szCs w:val="21"/>
        </w:rPr>
      </w:pPr>
      <w:r>
        <w:rPr>
          <w:rFonts w:hint="eastAsia" w:ascii="宋体" w:hAnsi="宋体" w:cs="宋体"/>
          <w:szCs w:val="21"/>
        </w:rPr>
        <w:t>b）设备体系结构；</w:t>
      </w:r>
    </w:p>
    <w:p>
      <w:pPr>
        <w:spacing w:line="360" w:lineRule="auto"/>
        <w:rPr>
          <w:rFonts w:ascii="宋体" w:hAnsi="宋体" w:cs="宋体"/>
          <w:szCs w:val="21"/>
        </w:rPr>
      </w:pPr>
      <w:r>
        <w:rPr>
          <w:rFonts w:hint="eastAsia" w:ascii="宋体" w:hAnsi="宋体" w:cs="宋体"/>
          <w:szCs w:val="21"/>
        </w:rPr>
        <w:t>c）设备各种接口特性；</w:t>
      </w:r>
    </w:p>
    <w:p>
      <w:pPr>
        <w:spacing w:line="360" w:lineRule="auto"/>
        <w:rPr>
          <w:rFonts w:ascii="宋体" w:hAnsi="宋体" w:cs="宋体"/>
          <w:szCs w:val="21"/>
        </w:rPr>
      </w:pPr>
      <w:r>
        <w:rPr>
          <w:rFonts w:hint="eastAsia" w:ascii="宋体" w:hAnsi="宋体" w:cs="宋体"/>
          <w:szCs w:val="21"/>
        </w:rPr>
        <w:t>d）安装方式；</w:t>
      </w:r>
    </w:p>
    <w:p>
      <w:pPr>
        <w:spacing w:line="360" w:lineRule="auto"/>
        <w:rPr>
          <w:rFonts w:ascii="宋体" w:hAnsi="宋体" w:cs="宋体"/>
          <w:szCs w:val="21"/>
        </w:rPr>
      </w:pPr>
      <w:r>
        <w:rPr>
          <w:rFonts w:hint="eastAsia" w:ascii="宋体" w:hAnsi="宋体" w:cs="宋体"/>
          <w:szCs w:val="21"/>
        </w:rPr>
        <w:t>e）物理尺寸；</w:t>
      </w:r>
    </w:p>
    <w:p>
      <w:pPr>
        <w:spacing w:line="360" w:lineRule="auto"/>
        <w:rPr>
          <w:rFonts w:ascii="宋体" w:hAnsi="宋体" w:cs="宋体"/>
          <w:szCs w:val="21"/>
        </w:rPr>
      </w:pPr>
      <w:r>
        <w:rPr>
          <w:rFonts w:hint="eastAsia" w:ascii="宋体" w:hAnsi="宋体" w:cs="宋体"/>
          <w:szCs w:val="21"/>
        </w:rPr>
        <w:t>f）供电方式、耗电量；</w:t>
      </w:r>
    </w:p>
    <w:p>
      <w:pPr>
        <w:spacing w:line="360" w:lineRule="auto"/>
        <w:rPr>
          <w:rFonts w:ascii="宋体" w:hAnsi="宋体" w:cs="宋体"/>
          <w:szCs w:val="21"/>
        </w:rPr>
      </w:pPr>
      <w:r>
        <w:rPr>
          <w:rFonts w:hint="eastAsia" w:ascii="宋体" w:hAnsi="宋体" w:cs="宋体"/>
          <w:szCs w:val="21"/>
        </w:rPr>
        <w:t>g）设备或机架接地要求；</w:t>
      </w:r>
    </w:p>
    <w:p>
      <w:pPr>
        <w:spacing w:line="360" w:lineRule="auto"/>
        <w:rPr>
          <w:rFonts w:ascii="宋体" w:hAnsi="宋体" w:cs="宋体"/>
          <w:szCs w:val="21"/>
        </w:rPr>
      </w:pPr>
      <w:r>
        <w:rPr>
          <w:rFonts w:hint="eastAsia" w:ascii="宋体" w:hAnsi="宋体" w:cs="宋体"/>
          <w:szCs w:val="21"/>
        </w:rPr>
        <w:t>h）重量、温湿度等环境要求；</w:t>
      </w:r>
    </w:p>
    <w:p>
      <w:pPr>
        <w:spacing w:line="360" w:lineRule="auto"/>
        <w:rPr>
          <w:rFonts w:ascii="宋体" w:hAnsi="宋体" w:cs="宋体"/>
          <w:szCs w:val="21"/>
        </w:rPr>
      </w:pPr>
      <w:r>
        <w:rPr>
          <w:rFonts w:hint="eastAsia" w:ascii="宋体" w:hAnsi="宋体" w:cs="宋体"/>
          <w:szCs w:val="21"/>
        </w:rPr>
        <w:t>i）设备相关性能指标的测试记录文档；</w:t>
      </w:r>
    </w:p>
    <w:p>
      <w:pPr>
        <w:spacing w:line="360" w:lineRule="auto"/>
        <w:rPr>
          <w:rFonts w:ascii="宋体" w:hAnsi="宋体" w:cs="宋体"/>
          <w:szCs w:val="21"/>
        </w:rPr>
      </w:pPr>
      <w:r>
        <w:rPr>
          <w:rFonts w:hint="eastAsia" w:ascii="宋体" w:hAnsi="宋体" w:cs="宋体"/>
          <w:szCs w:val="21"/>
        </w:rPr>
        <w:t xml:space="preserve">j）设备装架示意图：如所响应设备为装架式，供应商应提供相应的装架示意图； </w:t>
      </w:r>
    </w:p>
    <w:p>
      <w:pPr>
        <w:spacing w:line="360" w:lineRule="auto"/>
        <w:rPr>
          <w:rFonts w:ascii="宋体" w:hAnsi="宋体" w:cs="宋体"/>
          <w:szCs w:val="21"/>
        </w:rPr>
      </w:pPr>
      <w:r>
        <w:rPr>
          <w:rFonts w:hint="eastAsia" w:ascii="宋体" w:hAnsi="宋体" w:cs="宋体"/>
          <w:szCs w:val="21"/>
        </w:rPr>
        <w:t>k）单台设备和相关部件的可靠性指标，至少包括：设备和部件的无故障运行时间、每年的不可用时间。</w:t>
      </w:r>
    </w:p>
    <w:p>
      <w:pPr>
        <w:spacing w:line="360" w:lineRule="auto"/>
        <w:outlineLvl w:val="2"/>
        <w:rPr>
          <w:rFonts w:ascii="宋体" w:hAnsi="宋体" w:cs="宋体"/>
          <w:szCs w:val="21"/>
        </w:rPr>
      </w:pPr>
      <w:r>
        <w:rPr>
          <w:rFonts w:hint="eastAsia" w:ascii="宋体" w:hAnsi="宋体" w:cs="宋体"/>
          <w:szCs w:val="21"/>
        </w:rPr>
        <w:t>1.3环境要求</w:t>
      </w:r>
    </w:p>
    <w:p>
      <w:pPr>
        <w:spacing w:line="360" w:lineRule="auto"/>
        <w:ind w:firstLine="420" w:firstLineChars="200"/>
        <w:rPr>
          <w:rFonts w:ascii="宋体" w:hAnsi="宋体" w:cs="宋体"/>
          <w:szCs w:val="21"/>
        </w:rPr>
      </w:pPr>
      <w:r>
        <w:rPr>
          <w:rFonts w:hint="eastAsia" w:ascii="宋体" w:hAnsi="宋体" w:cs="宋体"/>
          <w:szCs w:val="21"/>
        </w:rPr>
        <w:t>本次采购的硬件设备应能适应如下环境要求：</w:t>
      </w:r>
    </w:p>
    <w:p>
      <w:pPr>
        <w:spacing w:line="360" w:lineRule="auto"/>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温度：5~40℃</w:t>
      </w:r>
    </w:p>
    <w:p>
      <w:pPr>
        <w:spacing w:line="360" w:lineRule="auto"/>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相对湿度：10%～80%</w:t>
      </w:r>
    </w:p>
    <w:p>
      <w:pPr>
        <w:spacing w:line="360" w:lineRule="auto"/>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温度变化率：≤10℃/h，不结露</w:t>
      </w:r>
    </w:p>
    <w:p>
      <w:pPr>
        <w:spacing w:line="360" w:lineRule="auto"/>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海拔高度：-200米～3000米</w:t>
      </w:r>
    </w:p>
    <w:p>
      <w:pPr>
        <w:spacing w:line="360" w:lineRule="auto"/>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防尘：静态条件下测试，主机房空气中≥0.5μm的尘粒数，少于18000粒/升</w:t>
      </w:r>
    </w:p>
    <w:p>
      <w:pPr>
        <w:spacing w:line="360" w:lineRule="auto"/>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额定电压交流220～240V  直流-48V～-57V</w:t>
      </w:r>
    </w:p>
    <w:p>
      <w:pPr>
        <w:spacing w:line="360" w:lineRule="auto"/>
        <w:ind w:firstLine="420" w:firstLineChars="200"/>
      </w:pPr>
      <w:r>
        <w:rPr>
          <w:rFonts w:hint="eastAsia" w:ascii="宋体" w:hAnsi="宋体" w:cs="宋体"/>
          <w:szCs w:val="21"/>
        </w:rPr>
        <w:t>采购设备如不能适应下述要求时请说明。同时，供应商须详细提供所有采购设备对机房环境的要求，诸如：运行及非运行状态时的温度、湿度、防尘、设备噪声强度、各种电磁干扰等要求，以及运输、长期和短期储存要求等。</w:t>
      </w:r>
    </w:p>
    <w:p>
      <w:pPr>
        <w:spacing w:line="360" w:lineRule="auto"/>
        <w:outlineLvl w:val="1"/>
        <w:rPr>
          <w:b/>
          <w:color w:val="262626"/>
          <w:sz w:val="24"/>
        </w:rPr>
      </w:pPr>
      <w:r>
        <w:rPr>
          <w:rFonts w:hint="eastAsia"/>
          <w:b/>
          <w:color w:val="262626"/>
          <w:sz w:val="24"/>
        </w:rPr>
        <w:t>二</w:t>
      </w:r>
      <w:r>
        <w:rPr>
          <w:b/>
          <w:color w:val="262626"/>
          <w:sz w:val="24"/>
        </w:rPr>
        <w:t>、技术要求</w:t>
      </w:r>
    </w:p>
    <w:p>
      <w:pPr>
        <w:spacing w:line="360" w:lineRule="auto"/>
        <w:ind w:firstLine="420" w:firstLineChars="200"/>
        <w:rPr>
          <w:color w:val="262626"/>
          <w:szCs w:val="21"/>
        </w:rPr>
      </w:pPr>
      <w:r>
        <w:rPr>
          <w:szCs w:val="21"/>
        </w:rPr>
        <w:t>采购</w:t>
      </w:r>
      <w:r>
        <w:rPr>
          <w:rFonts w:hint="eastAsia"/>
          <w:szCs w:val="21"/>
        </w:rPr>
        <w:t>1台堡垒机，</w:t>
      </w:r>
      <w:r>
        <w:rPr>
          <w:szCs w:val="21"/>
        </w:rPr>
        <w:t>用于</w:t>
      </w:r>
      <w:r>
        <w:rPr>
          <w:rFonts w:hint="eastAsia"/>
          <w:szCs w:val="21"/>
        </w:rPr>
        <w:t>“5G敏感数据专用数据库”</w:t>
      </w:r>
      <w:r>
        <w:rPr>
          <w:szCs w:val="21"/>
        </w:rPr>
        <w:t>项目</w:t>
      </w:r>
      <w:r>
        <w:rPr>
          <w:rFonts w:hint="eastAsia"/>
          <w:color w:val="000000"/>
          <w:szCs w:val="21"/>
        </w:rPr>
        <w:t>，</w:t>
      </w:r>
      <w:r>
        <w:rPr>
          <w:color w:val="262626"/>
          <w:szCs w:val="21"/>
        </w:rPr>
        <w:t>性能/功能的具体要求如下</w:t>
      </w:r>
      <w:r>
        <w:rPr>
          <w:rFonts w:hint="eastAsia"/>
          <w:color w:val="262626"/>
          <w:szCs w:val="21"/>
        </w:rPr>
        <w:t>：</w:t>
      </w:r>
    </w:p>
    <w:tbl>
      <w:tblPr>
        <w:tblStyle w:val="53"/>
        <w:tblW w:w="8878" w:type="dxa"/>
        <w:tblInd w:w="0" w:type="dxa"/>
        <w:tblLayout w:type="autofit"/>
        <w:tblCellMar>
          <w:top w:w="0" w:type="dxa"/>
          <w:left w:w="108" w:type="dxa"/>
          <w:bottom w:w="0" w:type="dxa"/>
          <w:right w:w="108" w:type="dxa"/>
        </w:tblCellMar>
      </w:tblPr>
      <w:tblGrid>
        <w:gridCol w:w="1649"/>
        <w:gridCol w:w="868"/>
        <w:gridCol w:w="6361"/>
      </w:tblGrid>
      <w:tr>
        <w:tblPrEx>
          <w:tblCellMar>
            <w:top w:w="0" w:type="dxa"/>
            <w:left w:w="108" w:type="dxa"/>
            <w:bottom w:w="0" w:type="dxa"/>
            <w:right w:w="108" w:type="dxa"/>
          </w:tblCellMar>
        </w:tblPrEx>
        <w:trPr>
          <w:trHeight w:val="472" w:hRule="atLeast"/>
        </w:trPr>
        <w:tc>
          <w:tcPr>
            <w:tcW w:w="1649"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宋体" w:hAnsi="宋体" w:cs="宋体"/>
                <w:color w:val="000000"/>
                <w:sz w:val="21"/>
                <w:szCs w:val="21"/>
              </w:rPr>
            </w:pPr>
            <w:r>
              <w:rPr>
                <w:rFonts w:hint="eastAsia" w:ascii="宋体" w:hAnsi="宋体" w:cs="宋体"/>
                <w:color w:val="000000"/>
                <w:sz w:val="21"/>
                <w:szCs w:val="21"/>
              </w:rPr>
              <w:t>技术指标</w:t>
            </w:r>
          </w:p>
        </w:tc>
        <w:tc>
          <w:tcPr>
            <w:tcW w:w="7229" w:type="dxa"/>
            <w:gridSpan w:val="2"/>
            <w:tcBorders>
              <w:top w:val="single" w:color="auto" w:sz="4" w:space="0"/>
              <w:left w:val="nil"/>
              <w:bottom w:val="single" w:color="auto" w:sz="4" w:space="0"/>
              <w:right w:val="single" w:color="auto" w:sz="4" w:space="0"/>
            </w:tcBorders>
            <w:shd w:val="clear" w:color="auto" w:fill="auto"/>
          </w:tcPr>
          <w:p>
            <w:pPr>
              <w:rPr>
                <w:rFonts w:ascii="宋体" w:hAnsi="宋体" w:cs="宋体"/>
                <w:color w:val="000000"/>
                <w:sz w:val="21"/>
                <w:szCs w:val="21"/>
              </w:rPr>
            </w:pPr>
            <w:r>
              <w:rPr>
                <w:rFonts w:hint="eastAsia" w:ascii="宋体" w:hAnsi="宋体" w:cs="宋体"/>
                <w:color w:val="000000"/>
                <w:sz w:val="21"/>
                <w:szCs w:val="21"/>
              </w:rPr>
              <w:t>指标要求</w:t>
            </w:r>
          </w:p>
        </w:tc>
      </w:tr>
      <w:tr>
        <w:tblPrEx>
          <w:tblCellMar>
            <w:top w:w="0" w:type="dxa"/>
            <w:left w:w="108" w:type="dxa"/>
            <w:bottom w:w="0" w:type="dxa"/>
            <w:right w:w="108" w:type="dxa"/>
          </w:tblCellMar>
        </w:tblPrEx>
        <w:trPr>
          <w:trHeight w:val="472" w:hRule="atLeast"/>
        </w:trPr>
        <w:tc>
          <w:tcPr>
            <w:tcW w:w="1649"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宋体" w:hAnsi="宋体" w:cs="宋体"/>
                <w:color w:val="000000"/>
                <w:sz w:val="21"/>
                <w:szCs w:val="21"/>
              </w:rPr>
            </w:pPr>
            <w:r>
              <w:rPr>
                <w:rFonts w:hint="eastAsia" w:ascii="宋体" w:hAnsi="宋体" w:cs="宋体"/>
                <w:color w:val="000000"/>
                <w:sz w:val="21"/>
                <w:szCs w:val="21"/>
              </w:rPr>
              <w:t>硬件要求</w:t>
            </w:r>
          </w:p>
        </w:tc>
        <w:tc>
          <w:tcPr>
            <w:tcW w:w="7229" w:type="dxa"/>
            <w:gridSpan w:val="2"/>
            <w:tcBorders>
              <w:top w:val="single" w:color="auto" w:sz="4" w:space="0"/>
              <w:left w:val="nil"/>
              <w:bottom w:val="single" w:color="auto" w:sz="4" w:space="0"/>
              <w:right w:val="single" w:color="auto" w:sz="4" w:space="0"/>
            </w:tcBorders>
            <w:shd w:val="clear" w:color="auto" w:fill="auto"/>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板载接口不少于4个千兆电口，不少于1个扩展槽，可扩展万兆接口；</w:t>
            </w:r>
          </w:p>
          <w:p>
            <w:pPr>
              <w:rPr>
                <w:rFonts w:ascii="宋体" w:hAnsi="宋体" w:cs="宋体"/>
                <w:color w:val="000000"/>
                <w:sz w:val="21"/>
                <w:szCs w:val="21"/>
              </w:rPr>
            </w:pPr>
            <w:r>
              <w:rPr>
                <w:rFonts w:hint="eastAsia" w:ascii="宋体" w:hAnsi="宋体" w:cs="宋体"/>
                <w:color w:val="000000"/>
                <w:sz w:val="21"/>
                <w:szCs w:val="21"/>
              </w:rPr>
              <w:t>硬盘不少于4T存储</w:t>
            </w:r>
          </w:p>
        </w:tc>
      </w:tr>
      <w:tr>
        <w:tblPrEx>
          <w:tblCellMar>
            <w:top w:w="0" w:type="dxa"/>
            <w:left w:w="108" w:type="dxa"/>
            <w:bottom w:w="0" w:type="dxa"/>
            <w:right w:w="108" w:type="dxa"/>
          </w:tblCellMar>
        </w:tblPrEx>
        <w:trPr>
          <w:trHeight w:val="472" w:hRule="atLeast"/>
        </w:trPr>
        <w:tc>
          <w:tcPr>
            <w:tcW w:w="16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性能要求</w:t>
            </w:r>
          </w:p>
        </w:tc>
        <w:tc>
          <w:tcPr>
            <w:tcW w:w="7229"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字符并发</w:t>
            </w:r>
            <w:r>
              <w:rPr>
                <w:rFonts w:ascii="宋体" w:hAnsi="宋体" w:cs="宋体"/>
                <w:color w:val="000000"/>
                <w:sz w:val="21"/>
                <w:szCs w:val="21"/>
              </w:rPr>
              <w:t>1</w:t>
            </w:r>
            <w:r>
              <w:rPr>
                <w:rFonts w:hint="eastAsia" w:ascii="宋体" w:hAnsi="宋体" w:cs="宋体"/>
                <w:color w:val="000000"/>
                <w:sz w:val="21"/>
                <w:szCs w:val="21"/>
              </w:rPr>
              <w:t>4</w:t>
            </w:r>
            <w:r>
              <w:rPr>
                <w:rFonts w:ascii="宋体" w:hAnsi="宋体" w:cs="宋体"/>
                <w:color w:val="000000"/>
                <w:sz w:val="21"/>
                <w:szCs w:val="21"/>
              </w:rPr>
              <w:t>00</w:t>
            </w:r>
            <w:r>
              <w:rPr>
                <w:rFonts w:hint="eastAsia" w:ascii="宋体" w:hAnsi="宋体" w:cs="宋体"/>
                <w:color w:val="000000"/>
                <w:sz w:val="21"/>
                <w:szCs w:val="21"/>
              </w:rPr>
              <w:t>，</w:t>
            </w:r>
            <w:r>
              <w:rPr>
                <w:rFonts w:ascii="宋体" w:hAnsi="宋体" w:cs="宋体"/>
                <w:color w:val="000000"/>
                <w:sz w:val="21"/>
                <w:szCs w:val="21"/>
              </w:rPr>
              <w:t>图形并发</w:t>
            </w:r>
            <w:r>
              <w:rPr>
                <w:rFonts w:hint="eastAsia" w:ascii="宋体" w:hAnsi="宋体" w:cs="宋体"/>
                <w:color w:val="000000"/>
                <w:sz w:val="21"/>
                <w:szCs w:val="21"/>
              </w:rPr>
              <w:t>400</w:t>
            </w:r>
          </w:p>
        </w:tc>
      </w:tr>
      <w:tr>
        <w:tblPrEx>
          <w:tblCellMar>
            <w:top w:w="0" w:type="dxa"/>
            <w:left w:w="108" w:type="dxa"/>
            <w:bottom w:w="0" w:type="dxa"/>
            <w:right w:w="108" w:type="dxa"/>
          </w:tblCellMar>
        </w:tblPrEx>
        <w:trPr>
          <w:trHeight w:val="381" w:hRule="atLeast"/>
        </w:trPr>
        <w:tc>
          <w:tcPr>
            <w:tcW w:w="1649"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高可靠性</w:t>
            </w:r>
          </w:p>
        </w:tc>
        <w:tc>
          <w:tcPr>
            <w:tcW w:w="722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支持双机热备，支持系统配置以及审计日志实时同步</w:t>
            </w:r>
          </w:p>
        </w:tc>
      </w:tr>
      <w:tr>
        <w:tblPrEx>
          <w:tblCellMar>
            <w:top w:w="0" w:type="dxa"/>
            <w:left w:w="108" w:type="dxa"/>
            <w:bottom w:w="0" w:type="dxa"/>
            <w:right w:w="108" w:type="dxa"/>
          </w:tblCellMar>
        </w:tblPrEx>
        <w:trPr>
          <w:trHeight w:val="360" w:hRule="atLeast"/>
        </w:trPr>
        <w:tc>
          <w:tcPr>
            <w:tcW w:w="1649"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color w:val="000000"/>
                <w:sz w:val="21"/>
                <w:szCs w:val="21"/>
              </w:rPr>
            </w:pPr>
          </w:p>
        </w:tc>
        <w:tc>
          <w:tcPr>
            <w:tcW w:w="722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支持集群部署，系统策略支持统一下发，后期升级扩容方式支持单节点扩容，无需进行软硬件的二次升级即可完成</w:t>
            </w:r>
          </w:p>
        </w:tc>
      </w:tr>
      <w:tr>
        <w:tblPrEx>
          <w:tblCellMar>
            <w:top w:w="0" w:type="dxa"/>
            <w:left w:w="108" w:type="dxa"/>
            <w:bottom w:w="0" w:type="dxa"/>
            <w:right w:w="108" w:type="dxa"/>
          </w:tblCellMar>
        </w:tblPrEx>
        <w:trPr>
          <w:trHeight w:val="274" w:hRule="atLeast"/>
        </w:trPr>
        <w:tc>
          <w:tcPr>
            <w:tcW w:w="1649"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color w:val="000000"/>
                <w:sz w:val="21"/>
                <w:szCs w:val="21"/>
              </w:rPr>
            </w:pPr>
          </w:p>
        </w:tc>
        <w:tc>
          <w:tcPr>
            <w:tcW w:w="722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支持第三方负载均衡，并支持集群自带的负载均衡模块</w:t>
            </w:r>
            <w:r>
              <w:rPr>
                <w:rFonts w:hint="eastAsia" w:ascii="宋体" w:hAnsi="宋体" w:cs="宋体"/>
                <w:color w:val="auto"/>
                <w:sz w:val="21"/>
                <w:szCs w:val="21"/>
              </w:rPr>
              <w:t>（提供产品界面截图有效）</w:t>
            </w:r>
          </w:p>
        </w:tc>
      </w:tr>
      <w:tr>
        <w:tblPrEx>
          <w:tblCellMar>
            <w:top w:w="0" w:type="dxa"/>
            <w:left w:w="108" w:type="dxa"/>
            <w:bottom w:w="0" w:type="dxa"/>
            <w:right w:w="108" w:type="dxa"/>
          </w:tblCellMar>
        </w:tblPrEx>
        <w:trPr>
          <w:trHeight w:val="142" w:hRule="atLeast"/>
        </w:trPr>
        <w:tc>
          <w:tcPr>
            <w:tcW w:w="16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支持协议类型</w:t>
            </w:r>
          </w:p>
        </w:tc>
        <w:tc>
          <w:tcPr>
            <w:tcW w:w="722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图形终端协议：RDP、VNC、X11</w:t>
            </w:r>
          </w:p>
        </w:tc>
      </w:tr>
      <w:tr>
        <w:tblPrEx>
          <w:tblCellMar>
            <w:top w:w="0" w:type="dxa"/>
            <w:left w:w="108" w:type="dxa"/>
            <w:bottom w:w="0" w:type="dxa"/>
            <w:right w:w="108" w:type="dxa"/>
          </w:tblCellMar>
        </w:tblPrEx>
        <w:trPr>
          <w:trHeight w:val="142" w:hRule="atLeast"/>
        </w:trPr>
        <w:tc>
          <w:tcPr>
            <w:tcW w:w="16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722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字符终端协议：Telnet、SSH</w:t>
            </w:r>
          </w:p>
        </w:tc>
      </w:tr>
      <w:tr>
        <w:tblPrEx>
          <w:tblCellMar>
            <w:top w:w="0" w:type="dxa"/>
            <w:left w:w="108" w:type="dxa"/>
            <w:bottom w:w="0" w:type="dxa"/>
            <w:right w:w="108" w:type="dxa"/>
          </w:tblCellMar>
        </w:tblPrEx>
        <w:trPr>
          <w:trHeight w:val="90" w:hRule="atLeast"/>
        </w:trPr>
        <w:tc>
          <w:tcPr>
            <w:tcW w:w="16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722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文件传输协议：FTP、SFTP</w:t>
            </w:r>
          </w:p>
        </w:tc>
      </w:tr>
      <w:tr>
        <w:tblPrEx>
          <w:tblCellMar>
            <w:top w:w="0" w:type="dxa"/>
            <w:left w:w="108" w:type="dxa"/>
            <w:bottom w:w="0" w:type="dxa"/>
            <w:right w:w="108" w:type="dxa"/>
          </w:tblCellMar>
        </w:tblPrEx>
        <w:trPr>
          <w:trHeight w:val="569" w:hRule="atLeast"/>
        </w:trPr>
        <w:tc>
          <w:tcPr>
            <w:tcW w:w="16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722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数据库类型：</w:t>
            </w:r>
            <w:r>
              <w:rPr>
                <w:rFonts w:hint="eastAsia" w:ascii="宋体" w:hAnsi="宋体" w:cs="宋体"/>
                <w:color w:val="000000"/>
                <w:sz w:val="21"/>
                <w:szCs w:val="21"/>
              </w:rPr>
              <w:br w:type="textWrapping"/>
            </w:r>
            <w:r>
              <w:rPr>
                <w:rFonts w:hint="eastAsia" w:ascii="宋体" w:hAnsi="宋体" w:cs="宋体"/>
                <w:b/>
                <w:bCs/>
                <w:color w:val="000000"/>
                <w:sz w:val="21"/>
                <w:szCs w:val="21"/>
              </w:rPr>
              <w:t>Oracle：</w:t>
            </w:r>
            <w:r>
              <w:rPr>
                <w:rFonts w:hint="eastAsia" w:ascii="宋体" w:hAnsi="宋体" w:cs="宋体"/>
                <w:color w:val="000000"/>
                <w:sz w:val="21"/>
                <w:szCs w:val="21"/>
              </w:rPr>
              <w:t>PLSQL、TOAD、SQLPLUS、SQLDEVELOPER</w:t>
            </w:r>
            <w:r>
              <w:rPr>
                <w:rFonts w:hint="eastAsia" w:ascii="宋体" w:hAnsi="宋体" w:cs="宋体"/>
                <w:color w:val="000000"/>
                <w:sz w:val="21"/>
                <w:szCs w:val="21"/>
              </w:rPr>
              <w:br w:type="textWrapping"/>
            </w:r>
            <w:r>
              <w:rPr>
                <w:rFonts w:hint="eastAsia" w:ascii="宋体" w:hAnsi="宋体" w:cs="宋体"/>
                <w:b/>
                <w:bCs/>
                <w:color w:val="000000"/>
                <w:sz w:val="21"/>
                <w:szCs w:val="21"/>
              </w:rPr>
              <w:t>Mysql：</w:t>
            </w:r>
            <w:r>
              <w:rPr>
                <w:rFonts w:hint="eastAsia" w:ascii="宋体" w:hAnsi="宋体" w:cs="宋体"/>
                <w:color w:val="000000"/>
                <w:sz w:val="21"/>
                <w:szCs w:val="21"/>
              </w:rPr>
              <w:t>MYSQLFRONT、HeidiSQL</w:t>
            </w:r>
            <w:r>
              <w:rPr>
                <w:rFonts w:hint="eastAsia" w:ascii="宋体" w:hAnsi="宋体" w:cs="宋体"/>
                <w:color w:val="000000"/>
                <w:sz w:val="21"/>
                <w:szCs w:val="21"/>
              </w:rPr>
              <w:br w:type="textWrapping"/>
            </w:r>
            <w:r>
              <w:rPr>
                <w:rFonts w:hint="eastAsia" w:ascii="宋体" w:hAnsi="宋体" w:cs="宋体"/>
                <w:b/>
                <w:bCs/>
                <w:color w:val="000000"/>
                <w:sz w:val="21"/>
                <w:szCs w:val="21"/>
              </w:rPr>
              <w:t>SQL Server：</w:t>
            </w:r>
            <w:r>
              <w:rPr>
                <w:rFonts w:hint="eastAsia" w:ascii="宋体" w:hAnsi="宋体" w:cs="宋体"/>
                <w:color w:val="000000"/>
                <w:sz w:val="21"/>
                <w:szCs w:val="21"/>
              </w:rPr>
              <w:t>SQLserver（2000-2012）</w:t>
            </w:r>
          </w:p>
        </w:tc>
      </w:tr>
      <w:tr>
        <w:tblPrEx>
          <w:tblCellMar>
            <w:top w:w="0" w:type="dxa"/>
            <w:left w:w="108" w:type="dxa"/>
            <w:bottom w:w="0" w:type="dxa"/>
            <w:right w:w="108" w:type="dxa"/>
          </w:tblCellMar>
        </w:tblPrEx>
        <w:trPr>
          <w:trHeight w:val="1138" w:hRule="atLeast"/>
        </w:trPr>
        <w:tc>
          <w:tcPr>
            <w:tcW w:w="16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7229"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 xml:space="preserve">数据库类型：                                                                                           </w:t>
            </w:r>
            <w:r>
              <w:rPr>
                <w:rFonts w:hint="eastAsia" w:ascii="宋体" w:hAnsi="宋体" w:cs="宋体"/>
                <w:b/>
                <w:bCs/>
                <w:color w:val="000000"/>
                <w:sz w:val="21"/>
                <w:szCs w:val="21"/>
              </w:rPr>
              <w:t>Oracle：</w:t>
            </w:r>
            <w:r>
              <w:rPr>
                <w:rFonts w:hint="eastAsia" w:ascii="宋体" w:hAnsi="宋体" w:cs="宋体"/>
                <w:color w:val="000000"/>
                <w:sz w:val="21"/>
                <w:szCs w:val="21"/>
              </w:rPr>
              <w:t xml:space="preserve">DBeaverForOracle                                                                           </w:t>
            </w:r>
            <w:r>
              <w:rPr>
                <w:rFonts w:hint="eastAsia" w:ascii="宋体" w:hAnsi="宋体" w:cs="宋体"/>
                <w:b/>
                <w:bCs/>
                <w:color w:val="000000"/>
                <w:sz w:val="21"/>
                <w:szCs w:val="21"/>
              </w:rPr>
              <w:t>Mysql：</w:t>
            </w:r>
            <w:r>
              <w:rPr>
                <w:rFonts w:hint="eastAsia" w:ascii="宋体" w:hAnsi="宋体" w:cs="宋体"/>
                <w:color w:val="000000"/>
                <w:sz w:val="21"/>
                <w:szCs w:val="21"/>
              </w:rPr>
              <w:t xml:space="preserve">DBeaverForMysql                                                                                 </w:t>
            </w:r>
            <w:r>
              <w:rPr>
                <w:rFonts w:hint="eastAsia" w:ascii="宋体" w:hAnsi="宋体" w:cs="宋体"/>
                <w:b/>
                <w:bCs/>
                <w:color w:val="000000"/>
                <w:sz w:val="21"/>
                <w:szCs w:val="21"/>
              </w:rPr>
              <w:t>SQL Server：</w:t>
            </w:r>
            <w:r>
              <w:rPr>
                <w:rFonts w:hint="eastAsia" w:ascii="宋体" w:hAnsi="宋体" w:cs="宋体"/>
                <w:color w:val="000000"/>
                <w:sz w:val="21"/>
                <w:szCs w:val="21"/>
              </w:rPr>
              <w:t xml:space="preserve">DBeaverForSqlServer   </w:t>
            </w:r>
            <w:r>
              <w:rPr>
                <w:rFonts w:hint="eastAsia" w:ascii="宋体" w:hAnsi="宋体" w:cs="宋体"/>
                <w:color w:val="000000"/>
                <w:sz w:val="21"/>
                <w:szCs w:val="21"/>
              </w:rPr>
              <w:br w:type="textWrapping"/>
            </w:r>
            <w:r>
              <w:rPr>
                <w:rFonts w:hint="eastAsia" w:ascii="宋体" w:hAnsi="宋体" w:cs="宋体"/>
                <w:b/>
                <w:bCs/>
                <w:color w:val="000000"/>
                <w:sz w:val="21"/>
                <w:szCs w:val="21"/>
              </w:rPr>
              <w:t>Informix：</w:t>
            </w:r>
            <w:r>
              <w:rPr>
                <w:rFonts w:hint="eastAsia" w:ascii="宋体" w:hAnsi="宋体" w:cs="宋体"/>
                <w:color w:val="000000"/>
                <w:sz w:val="21"/>
                <w:szCs w:val="21"/>
              </w:rPr>
              <w:t>DBeaverForInformix</w:t>
            </w:r>
            <w:r>
              <w:rPr>
                <w:rFonts w:hint="eastAsia" w:ascii="宋体" w:hAnsi="宋体" w:cs="宋体"/>
                <w:color w:val="000000"/>
                <w:sz w:val="21"/>
                <w:szCs w:val="21"/>
              </w:rPr>
              <w:br w:type="textWrapping"/>
            </w:r>
            <w:r>
              <w:rPr>
                <w:rFonts w:hint="eastAsia" w:ascii="宋体" w:hAnsi="宋体" w:cs="宋体"/>
                <w:b/>
                <w:bCs/>
                <w:color w:val="000000"/>
                <w:sz w:val="21"/>
                <w:szCs w:val="21"/>
              </w:rPr>
              <w:t>Sybase：</w:t>
            </w:r>
            <w:r>
              <w:rPr>
                <w:rFonts w:hint="eastAsia" w:ascii="宋体" w:hAnsi="宋体" w:cs="宋体"/>
                <w:color w:val="000000"/>
                <w:sz w:val="21"/>
                <w:szCs w:val="21"/>
              </w:rPr>
              <w:t>DBeaverForSybase</w:t>
            </w:r>
            <w:r>
              <w:rPr>
                <w:rFonts w:hint="eastAsia" w:ascii="宋体" w:hAnsi="宋体" w:cs="宋体"/>
                <w:color w:val="000000"/>
                <w:sz w:val="21"/>
                <w:szCs w:val="21"/>
              </w:rPr>
              <w:br w:type="textWrapping"/>
            </w:r>
            <w:r>
              <w:rPr>
                <w:rFonts w:hint="eastAsia" w:ascii="宋体" w:hAnsi="宋体" w:cs="宋体"/>
                <w:b/>
                <w:bCs/>
                <w:color w:val="000000"/>
                <w:sz w:val="21"/>
                <w:szCs w:val="21"/>
              </w:rPr>
              <w:t>DB2：</w:t>
            </w:r>
            <w:r>
              <w:rPr>
                <w:rFonts w:hint="eastAsia" w:ascii="宋体" w:hAnsi="宋体" w:cs="宋体"/>
                <w:color w:val="000000"/>
                <w:sz w:val="21"/>
                <w:szCs w:val="21"/>
              </w:rPr>
              <w:t xml:space="preserve">DBeaverForDB2                                                              </w:t>
            </w:r>
            <w:r>
              <w:rPr>
                <w:rFonts w:hint="eastAsia" w:ascii="宋体" w:hAnsi="宋体" w:cs="宋体"/>
                <w:color w:val="000000"/>
                <w:sz w:val="21"/>
                <w:szCs w:val="21"/>
              </w:rPr>
              <w:br w:type="textWrapping"/>
            </w:r>
            <w:r>
              <w:rPr>
                <w:rFonts w:hint="eastAsia" w:ascii="宋体" w:hAnsi="宋体" w:cs="宋体"/>
                <w:b/>
                <w:bCs/>
                <w:color w:val="000000"/>
                <w:sz w:val="21"/>
                <w:szCs w:val="21"/>
              </w:rPr>
              <w:t>PostgreSQL：</w:t>
            </w:r>
            <w:r>
              <w:rPr>
                <w:rFonts w:hint="eastAsia" w:ascii="宋体" w:hAnsi="宋体" w:cs="宋体"/>
                <w:color w:val="000000"/>
                <w:sz w:val="21"/>
                <w:szCs w:val="21"/>
              </w:rPr>
              <w:t>DBeaverForPostgreSQL</w:t>
            </w:r>
          </w:p>
        </w:tc>
      </w:tr>
      <w:tr>
        <w:tblPrEx>
          <w:tblCellMar>
            <w:top w:w="0" w:type="dxa"/>
            <w:left w:w="108" w:type="dxa"/>
            <w:bottom w:w="0" w:type="dxa"/>
            <w:right w:w="108" w:type="dxa"/>
          </w:tblCellMar>
        </w:tblPrEx>
        <w:trPr>
          <w:trHeight w:val="569" w:hRule="atLeast"/>
        </w:trPr>
        <w:tc>
          <w:tcPr>
            <w:tcW w:w="16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7229"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sz w:val="21"/>
                <w:szCs w:val="21"/>
              </w:rPr>
            </w:pPr>
            <w:r>
              <w:rPr>
                <w:rFonts w:hint="eastAsia" w:ascii="宋体" w:hAnsi="宋体" w:cs="宋体"/>
                <w:color w:val="000000"/>
                <w:sz w:val="21"/>
                <w:szCs w:val="21"/>
              </w:rPr>
              <w:t>数据库类型：                                                                                           Informix：DBACCESS</w:t>
            </w:r>
            <w:r>
              <w:rPr>
                <w:rFonts w:hint="eastAsia" w:ascii="宋体" w:hAnsi="宋体" w:cs="宋体"/>
                <w:color w:val="000000"/>
                <w:sz w:val="21"/>
                <w:szCs w:val="21"/>
              </w:rPr>
              <w:br w:type="textWrapping"/>
            </w:r>
            <w:r>
              <w:rPr>
                <w:rFonts w:hint="eastAsia" w:ascii="宋体" w:hAnsi="宋体" w:cs="宋体"/>
                <w:color w:val="000000"/>
                <w:sz w:val="21"/>
                <w:szCs w:val="21"/>
              </w:rPr>
              <w:t>Sybase：SCVIEW4</w:t>
            </w:r>
            <w:r>
              <w:rPr>
                <w:rFonts w:hint="eastAsia" w:ascii="宋体" w:hAnsi="宋体" w:cs="宋体"/>
                <w:color w:val="000000"/>
                <w:sz w:val="21"/>
                <w:szCs w:val="21"/>
              </w:rPr>
              <w:br w:type="textWrapping"/>
            </w:r>
            <w:r>
              <w:rPr>
                <w:rFonts w:hint="eastAsia" w:ascii="宋体" w:hAnsi="宋体" w:cs="宋体"/>
                <w:color w:val="000000"/>
                <w:sz w:val="21"/>
                <w:szCs w:val="21"/>
              </w:rPr>
              <w:t xml:space="preserve">DB2：DB2CMD、DB2QUEST                                                 </w:t>
            </w:r>
          </w:p>
        </w:tc>
      </w:tr>
      <w:tr>
        <w:tblPrEx>
          <w:tblCellMar>
            <w:top w:w="0" w:type="dxa"/>
            <w:left w:w="108" w:type="dxa"/>
            <w:bottom w:w="0" w:type="dxa"/>
            <w:right w:w="108" w:type="dxa"/>
          </w:tblCellMar>
        </w:tblPrEx>
        <w:trPr>
          <w:trHeight w:val="142" w:hRule="atLeast"/>
        </w:trPr>
        <w:tc>
          <w:tcPr>
            <w:tcW w:w="16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722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WEB应用：HTTP、HTTPS、Chrome_HTTP、Chrome_HTTPS</w:t>
            </w:r>
          </w:p>
        </w:tc>
      </w:tr>
      <w:tr>
        <w:tblPrEx>
          <w:tblCellMar>
            <w:top w:w="0" w:type="dxa"/>
            <w:left w:w="108" w:type="dxa"/>
            <w:bottom w:w="0" w:type="dxa"/>
            <w:right w:w="108" w:type="dxa"/>
          </w:tblCellMar>
        </w:tblPrEx>
        <w:trPr>
          <w:trHeight w:val="167" w:hRule="atLeast"/>
        </w:trPr>
        <w:tc>
          <w:tcPr>
            <w:tcW w:w="16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722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KVM类:DSR、DSVIEW、RARITAN、RARITAN_CC</w:t>
            </w:r>
          </w:p>
        </w:tc>
      </w:tr>
      <w:tr>
        <w:tblPrEx>
          <w:tblCellMar>
            <w:top w:w="0" w:type="dxa"/>
            <w:left w:w="108" w:type="dxa"/>
            <w:bottom w:w="0" w:type="dxa"/>
            <w:right w:w="108" w:type="dxa"/>
          </w:tblCellMar>
        </w:tblPrEx>
        <w:trPr>
          <w:trHeight w:val="426" w:hRule="atLeast"/>
        </w:trPr>
        <w:tc>
          <w:tcPr>
            <w:tcW w:w="16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722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其它应用：AS400、PGADMIN、PCANYWHERE、RADMIN、DameWare、CiscoASDM、VMware vSphere Client</w:t>
            </w:r>
          </w:p>
        </w:tc>
      </w:tr>
      <w:tr>
        <w:tblPrEx>
          <w:tblCellMar>
            <w:top w:w="0" w:type="dxa"/>
            <w:left w:w="108" w:type="dxa"/>
            <w:bottom w:w="0" w:type="dxa"/>
            <w:right w:w="108" w:type="dxa"/>
          </w:tblCellMar>
        </w:tblPrEx>
        <w:trPr>
          <w:trHeight w:val="269" w:hRule="atLeast"/>
        </w:trPr>
        <w:tc>
          <w:tcPr>
            <w:tcW w:w="16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722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其它应用：UltraVNC、WinRDP、Studio3T、DataStudio</w:t>
            </w:r>
          </w:p>
        </w:tc>
      </w:tr>
      <w:tr>
        <w:tblPrEx>
          <w:tblCellMar>
            <w:top w:w="0" w:type="dxa"/>
            <w:left w:w="108" w:type="dxa"/>
            <w:bottom w:w="0" w:type="dxa"/>
            <w:right w:w="108" w:type="dxa"/>
          </w:tblCellMar>
        </w:tblPrEx>
        <w:trPr>
          <w:trHeight w:val="167" w:hRule="atLeast"/>
        </w:trPr>
        <w:tc>
          <w:tcPr>
            <w:tcW w:w="16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722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Web应用(支持域名方式)：Domain_IE、Domain_Chrome</w:t>
            </w:r>
          </w:p>
        </w:tc>
      </w:tr>
      <w:tr>
        <w:tblPrEx>
          <w:tblCellMar>
            <w:top w:w="0" w:type="dxa"/>
            <w:left w:w="108" w:type="dxa"/>
            <w:bottom w:w="0" w:type="dxa"/>
            <w:right w:w="108" w:type="dxa"/>
          </w:tblCellMar>
        </w:tblPrEx>
        <w:trPr>
          <w:trHeight w:val="142" w:hRule="atLeast"/>
        </w:trPr>
        <w:tc>
          <w:tcPr>
            <w:tcW w:w="16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722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其它应用：REALVNC</w:t>
            </w:r>
          </w:p>
        </w:tc>
      </w:tr>
      <w:tr>
        <w:tblPrEx>
          <w:tblCellMar>
            <w:top w:w="0" w:type="dxa"/>
            <w:left w:w="108" w:type="dxa"/>
            <w:bottom w:w="0" w:type="dxa"/>
            <w:right w:w="108" w:type="dxa"/>
          </w:tblCellMar>
        </w:tblPrEx>
        <w:trPr>
          <w:trHeight w:val="284" w:hRule="atLeast"/>
        </w:trPr>
        <w:tc>
          <w:tcPr>
            <w:tcW w:w="16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单点登录</w:t>
            </w:r>
          </w:p>
        </w:tc>
        <w:tc>
          <w:tcPr>
            <w:tcW w:w="722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上述所有协议类型均可实现单点登录，图形化应用无需安装任何客户端和控件即可实现单点登录，即通过堡垒机实现图形化应用发布功能</w:t>
            </w:r>
          </w:p>
        </w:tc>
      </w:tr>
      <w:tr>
        <w:tblPrEx>
          <w:tblCellMar>
            <w:top w:w="0" w:type="dxa"/>
            <w:left w:w="108" w:type="dxa"/>
            <w:bottom w:w="0" w:type="dxa"/>
            <w:right w:w="108" w:type="dxa"/>
          </w:tblCellMar>
        </w:tblPrEx>
        <w:trPr>
          <w:trHeight w:val="279" w:hRule="atLeast"/>
        </w:trPr>
        <w:tc>
          <w:tcPr>
            <w:tcW w:w="16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722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支持IE代填类型包括 JS、flash、HTML5等特殊登录页面</w:t>
            </w:r>
          </w:p>
        </w:tc>
      </w:tr>
      <w:tr>
        <w:tblPrEx>
          <w:tblCellMar>
            <w:top w:w="0" w:type="dxa"/>
            <w:left w:w="108" w:type="dxa"/>
            <w:bottom w:w="0" w:type="dxa"/>
            <w:right w:w="108" w:type="dxa"/>
          </w:tblCellMar>
        </w:tblPrEx>
        <w:trPr>
          <w:trHeight w:val="254" w:hRule="atLeast"/>
        </w:trPr>
        <w:tc>
          <w:tcPr>
            <w:tcW w:w="16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722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支持Google浏览器代填</w:t>
            </w:r>
          </w:p>
        </w:tc>
      </w:tr>
      <w:tr>
        <w:tblPrEx>
          <w:tblCellMar>
            <w:top w:w="0" w:type="dxa"/>
            <w:left w:w="108" w:type="dxa"/>
            <w:bottom w:w="0" w:type="dxa"/>
            <w:right w:w="108" w:type="dxa"/>
          </w:tblCellMar>
        </w:tblPrEx>
        <w:trPr>
          <w:trHeight w:val="238" w:hRule="atLeast"/>
        </w:trPr>
        <w:tc>
          <w:tcPr>
            <w:tcW w:w="16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722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RDP运维支持NLA网络级身份验证</w:t>
            </w:r>
          </w:p>
        </w:tc>
      </w:tr>
      <w:tr>
        <w:tblPrEx>
          <w:tblCellMar>
            <w:top w:w="0" w:type="dxa"/>
            <w:left w:w="108" w:type="dxa"/>
            <w:bottom w:w="0" w:type="dxa"/>
            <w:right w:w="108" w:type="dxa"/>
          </w:tblCellMar>
        </w:tblPrEx>
        <w:trPr>
          <w:trHeight w:val="426" w:hRule="atLeast"/>
        </w:trPr>
        <w:tc>
          <w:tcPr>
            <w:tcW w:w="1649"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应用发布功能</w:t>
            </w:r>
          </w:p>
        </w:tc>
        <w:tc>
          <w:tcPr>
            <w:tcW w:w="722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无缝应用发布：要求以上所有图形化应用在实际操作环境中均可以正常使用且可自由调整应用的窗口大小，做到无缝发布，拖拽窗口应自然流畅，无卡顿现象，像是在本地运行应用程序一样</w:t>
            </w:r>
          </w:p>
        </w:tc>
      </w:tr>
      <w:tr>
        <w:tblPrEx>
          <w:tblCellMar>
            <w:top w:w="0" w:type="dxa"/>
            <w:left w:w="108" w:type="dxa"/>
            <w:bottom w:w="0" w:type="dxa"/>
            <w:right w:w="108" w:type="dxa"/>
          </w:tblCellMar>
        </w:tblPrEx>
        <w:trPr>
          <w:trHeight w:val="426" w:hRule="atLeast"/>
        </w:trPr>
        <w:tc>
          <w:tcPr>
            <w:tcW w:w="1649"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1"/>
                <w:szCs w:val="21"/>
              </w:rPr>
            </w:pPr>
          </w:p>
        </w:tc>
        <w:tc>
          <w:tcPr>
            <w:tcW w:w="722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内置应用发布中心，无需用户提供独立的服务器或者虚拟机</w:t>
            </w:r>
            <w:r>
              <w:rPr>
                <w:rFonts w:hint="eastAsia" w:ascii="宋体" w:hAnsi="宋体" w:cs="宋体"/>
                <w:color w:val="auto"/>
                <w:sz w:val="21"/>
                <w:szCs w:val="21"/>
              </w:rPr>
              <w:t>（提供功能截图证明）</w:t>
            </w:r>
          </w:p>
        </w:tc>
      </w:tr>
      <w:tr>
        <w:tblPrEx>
          <w:tblCellMar>
            <w:top w:w="0" w:type="dxa"/>
            <w:left w:w="108" w:type="dxa"/>
            <w:bottom w:w="0" w:type="dxa"/>
            <w:right w:w="108" w:type="dxa"/>
          </w:tblCellMar>
        </w:tblPrEx>
        <w:trPr>
          <w:trHeight w:val="284" w:hRule="atLeast"/>
        </w:trPr>
        <w:tc>
          <w:tcPr>
            <w:tcW w:w="1649"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系统自身安全性</w:t>
            </w: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IP自动禁止功能</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系统支持IP自动禁止功能，对连续登陆账号密码错误的来源IP自动屏蔽，可通过管理员解除屏蔽。</w:t>
            </w:r>
          </w:p>
        </w:tc>
      </w:tr>
      <w:tr>
        <w:tblPrEx>
          <w:tblCellMar>
            <w:top w:w="0" w:type="dxa"/>
            <w:left w:w="108" w:type="dxa"/>
            <w:bottom w:w="0" w:type="dxa"/>
            <w:right w:w="108" w:type="dxa"/>
          </w:tblCellMar>
        </w:tblPrEx>
        <w:trPr>
          <w:trHeight w:val="426"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帐号自动禁止和锁定功能</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支持账号自动锁定功能，用户1分钟内连续输入账号密码错误，自动锁定该账号</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自身健康检测</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支持对应用中心状态、审计状态和端口状态是否正常工作进行一键检查</w:t>
            </w:r>
          </w:p>
        </w:tc>
      </w:tr>
      <w:tr>
        <w:tblPrEx>
          <w:tblCellMar>
            <w:top w:w="0" w:type="dxa"/>
            <w:left w:w="108" w:type="dxa"/>
            <w:bottom w:w="0" w:type="dxa"/>
            <w:right w:w="108" w:type="dxa"/>
          </w:tblCellMar>
        </w:tblPrEx>
        <w:trPr>
          <w:trHeight w:val="320" w:hRule="atLeast"/>
        </w:trPr>
        <w:tc>
          <w:tcPr>
            <w:tcW w:w="1649"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运维管理</w:t>
            </w:r>
          </w:p>
        </w:tc>
        <w:tc>
          <w:tcPr>
            <w:tcW w:w="868"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运维方式</w:t>
            </w:r>
          </w:p>
        </w:tc>
        <w:tc>
          <w:tcPr>
            <w:tcW w:w="636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1"/>
                <w:szCs w:val="21"/>
                <w:lang w:eastAsia="zh-CN"/>
              </w:rPr>
            </w:pPr>
            <w:r>
              <w:rPr>
                <w:rFonts w:hint="eastAsia" w:ascii="宋体" w:hAnsi="宋体" w:cs="宋体"/>
                <w:color w:val="auto"/>
                <w:sz w:val="21"/>
                <w:szCs w:val="21"/>
              </w:rPr>
              <w:t>支持C/S与B/S运维方式</w:t>
            </w:r>
            <w:r>
              <w:rPr>
                <w:rFonts w:hint="eastAsia" w:ascii="宋体" w:hAnsi="宋体" w:cs="宋体"/>
                <w:color w:val="auto"/>
                <w:sz w:val="21"/>
                <w:szCs w:val="21"/>
                <w:lang w:eastAsia="zh-CN"/>
              </w:rPr>
              <w:t>，</w:t>
            </w:r>
            <w:r>
              <w:rPr>
                <w:rFonts w:hint="eastAsia" w:ascii="宋体" w:hAnsi="宋体" w:cs="宋体"/>
                <w:color w:val="auto"/>
                <w:sz w:val="21"/>
                <w:szCs w:val="21"/>
              </w:rPr>
              <w:t>支持Windows、MAC及Linux桌面版的运维助手，并自动推荐相应的运维助手，支持智能判断浏览器类型，根据不同浏览器显示不同运维方式</w:t>
            </w:r>
          </w:p>
        </w:tc>
      </w:tr>
      <w:tr>
        <w:tblPrEx>
          <w:tblCellMar>
            <w:top w:w="0" w:type="dxa"/>
            <w:left w:w="108" w:type="dxa"/>
            <w:bottom w:w="0" w:type="dxa"/>
            <w:right w:w="108" w:type="dxa"/>
          </w:tblCellMar>
        </w:tblPrEx>
        <w:trPr>
          <w:trHeight w:val="467"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非IE运维</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支持本地运行运维助手来满足非IE运维需求，运维助手服务端口可以自定义，运维助手也可以设置开机自启动</w:t>
            </w:r>
          </w:p>
        </w:tc>
      </w:tr>
      <w:tr>
        <w:tblPrEx>
          <w:tblCellMar>
            <w:top w:w="0" w:type="dxa"/>
            <w:left w:w="108" w:type="dxa"/>
            <w:bottom w:w="0" w:type="dxa"/>
            <w:right w:w="108" w:type="dxa"/>
          </w:tblCellMar>
        </w:tblPrEx>
        <w:trPr>
          <w:trHeight w:val="538"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工具属性支持</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支持字符类putty、SecureCRT等工具的各类属性：终端属性、字符编码、窗口大小随意调整等等；</w:t>
            </w:r>
            <w:r>
              <w:rPr>
                <w:rFonts w:hint="eastAsia" w:ascii="宋体" w:hAnsi="宋体" w:cs="宋体"/>
                <w:color w:val="000000"/>
                <w:sz w:val="21"/>
                <w:szCs w:val="21"/>
              </w:rPr>
              <w:br w:type="textWrapping"/>
            </w:r>
            <w:r>
              <w:rPr>
                <w:rFonts w:hint="eastAsia" w:ascii="宋体" w:hAnsi="宋体" w:cs="宋体"/>
                <w:color w:val="000000"/>
                <w:sz w:val="21"/>
                <w:szCs w:val="21"/>
              </w:rPr>
              <w:t>图形类mstsc工具的原有属性：自定义开启/关闭磁盘映射、剪切板等，支持窗口大小随意调整</w:t>
            </w:r>
          </w:p>
        </w:tc>
      </w:tr>
      <w:tr>
        <w:tblPrEx>
          <w:tblCellMar>
            <w:top w:w="0" w:type="dxa"/>
            <w:left w:w="108" w:type="dxa"/>
            <w:bottom w:w="0" w:type="dxa"/>
            <w:right w:w="108" w:type="dxa"/>
          </w:tblCellMar>
        </w:tblPrEx>
        <w:trPr>
          <w:trHeight w:val="508"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授权审核</w:t>
            </w:r>
          </w:p>
        </w:tc>
        <w:tc>
          <w:tcPr>
            <w:tcW w:w="636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1"/>
                <w:szCs w:val="21"/>
                <w:lang w:eastAsia="zh-CN"/>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可以指定系统用户查看该用户可管理的资产信息</w:t>
            </w:r>
            <w:r>
              <w:rPr>
                <w:rFonts w:hint="eastAsia" w:ascii="宋体" w:hAnsi="宋体" w:cs="宋体"/>
                <w:color w:val="000000"/>
                <w:sz w:val="21"/>
                <w:szCs w:val="21"/>
                <w:lang w:eastAsia="zh-CN"/>
              </w:rPr>
              <w:t>。</w:t>
            </w:r>
          </w:p>
        </w:tc>
      </w:tr>
      <w:tr>
        <w:tblPrEx>
          <w:tblCellMar>
            <w:top w:w="0" w:type="dxa"/>
            <w:left w:w="108" w:type="dxa"/>
            <w:bottom w:w="0" w:type="dxa"/>
            <w:right w:w="108" w:type="dxa"/>
          </w:tblCellMar>
        </w:tblPrEx>
        <w:trPr>
          <w:trHeight w:val="411"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授权审批</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运维人员可以在系统Web界面填写授权审批流程单，填写内容至少应包括：设备资源、系统账号、协议类型、时间窗口；审批通过后，运维人员可立即取得相应访问权限</w:t>
            </w:r>
          </w:p>
        </w:tc>
      </w:tr>
      <w:tr>
        <w:tblPrEx>
          <w:tblCellMar>
            <w:top w:w="0" w:type="dxa"/>
            <w:left w:w="108" w:type="dxa"/>
            <w:bottom w:w="0" w:type="dxa"/>
            <w:right w:w="108" w:type="dxa"/>
          </w:tblCellMar>
        </w:tblPrEx>
        <w:trPr>
          <w:trHeight w:val="372"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向导模式</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为管理员和运维人员提供操作向导模式，方便用户进行设备管理和使用</w:t>
            </w:r>
          </w:p>
        </w:tc>
      </w:tr>
      <w:tr>
        <w:tblPrEx>
          <w:tblCellMar>
            <w:top w:w="0" w:type="dxa"/>
            <w:left w:w="108" w:type="dxa"/>
            <w:bottom w:w="0" w:type="dxa"/>
            <w:right w:w="108" w:type="dxa"/>
          </w:tblCellMar>
        </w:tblPrEx>
        <w:trPr>
          <w:trHeight w:val="372"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智能判断操作系统版本及浏览器版本，自动判断当前最优的运维方式</w:t>
            </w:r>
          </w:p>
        </w:tc>
      </w:tr>
      <w:tr>
        <w:tblPrEx>
          <w:tblCellMar>
            <w:top w:w="0" w:type="dxa"/>
            <w:left w:w="108" w:type="dxa"/>
            <w:bottom w:w="0" w:type="dxa"/>
            <w:right w:w="108" w:type="dxa"/>
          </w:tblCellMar>
        </w:tblPrEx>
        <w:trPr>
          <w:trHeight w:val="372"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运维向导设置第二步可选择运维方式是IE控件运维、运维助手</w:t>
            </w:r>
          </w:p>
        </w:tc>
      </w:tr>
      <w:tr>
        <w:tblPrEx>
          <w:tblCellMar>
            <w:top w:w="0" w:type="dxa"/>
            <w:left w:w="108" w:type="dxa"/>
            <w:bottom w:w="0" w:type="dxa"/>
            <w:right w:w="108" w:type="dxa"/>
          </w:tblCellMar>
        </w:tblPrEx>
        <w:trPr>
          <w:trHeight w:val="372"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公告</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支持自定义公告功能，公告可以通过弹窗的形式展现给用户，管理员可以定义是否启用公告</w:t>
            </w:r>
          </w:p>
        </w:tc>
      </w:tr>
      <w:tr>
        <w:tblPrEx>
          <w:tblCellMar>
            <w:top w:w="0" w:type="dxa"/>
            <w:left w:w="108" w:type="dxa"/>
            <w:bottom w:w="0" w:type="dxa"/>
            <w:right w:w="108" w:type="dxa"/>
          </w:tblCellMar>
        </w:tblPrEx>
        <w:trPr>
          <w:trHeight w:val="372"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首页自定义</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支持用户在个人设置中自定义登录首页，首页可以配置为最近使用、常用、全局搜索等页面</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中英文管理界面</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支持中英文切换WEB管理</w:t>
            </w:r>
            <w:r>
              <w:rPr>
                <w:rFonts w:hint="eastAsia" w:ascii="宋体" w:hAnsi="宋体" w:cs="宋体"/>
                <w:color w:val="auto"/>
                <w:sz w:val="21"/>
                <w:szCs w:val="21"/>
              </w:rPr>
              <w:t>（提供功能截图证明）</w:t>
            </w:r>
          </w:p>
        </w:tc>
      </w:tr>
      <w:tr>
        <w:tblPrEx>
          <w:tblCellMar>
            <w:top w:w="0" w:type="dxa"/>
            <w:left w:w="108" w:type="dxa"/>
            <w:bottom w:w="0" w:type="dxa"/>
            <w:right w:w="108" w:type="dxa"/>
          </w:tblCellMar>
        </w:tblPrEx>
        <w:trPr>
          <w:trHeight w:val="426"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自动化运维</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可以制定计划任务，至字符类资产执行事先编辑好的脚本</w:t>
            </w:r>
            <w:r>
              <w:rPr>
                <w:rFonts w:hint="eastAsia" w:ascii="宋体" w:hAnsi="宋体" w:cs="宋体"/>
                <w:color w:val="000000"/>
                <w:sz w:val="21"/>
                <w:szCs w:val="21"/>
              </w:rPr>
              <w:br w:type="textWrapping"/>
            </w:r>
            <w:r>
              <w:rPr>
                <w:rFonts w:hint="eastAsia" w:ascii="宋体" w:hAnsi="宋体" w:cs="宋体"/>
                <w:color w:val="000000"/>
                <w:sz w:val="21"/>
                <w:szCs w:val="21"/>
              </w:rPr>
              <w:t>脚本超时执行时间为每个计划在单台机器上的超时时间。执行超过超时间后会断开连接</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可以通过手动登录某台资产，登录后会触发机器自行执行预先设置好的脚本</w:t>
            </w:r>
            <w:r>
              <w:rPr>
                <w:rFonts w:hint="eastAsia" w:ascii="宋体" w:hAnsi="宋体" w:cs="宋体"/>
                <w:color w:val="000000"/>
                <w:sz w:val="21"/>
                <w:szCs w:val="21"/>
              </w:rPr>
              <w:br w:type="textWrapping"/>
            </w:r>
            <w:r>
              <w:rPr>
                <w:rFonts w:hint="eastAsia" w:ascii="宋体" w:hAnsi="宋体" w:cs="宋体"/>
                <w:color w:val="000000"/>
                <w:sz w:val="21"/>
                <w:szCs w:val="21"/>
              </w:rPr>
              <w:t>可关联相应堡垒机运维帐号及资产帐号</w:t>
            </w:r>
          </w:p>
        </w:tc>
      </w:tr>
      <w:tr>
        <w:tblPrEx>
          <w:tblCellMar>
            <w:top w:w="0" w:type="dxa"/>
            <w:left w:w="108" w:type="dxa"/>
            <w:bottom w:w="0" w:type="dxa"/>
            <w:right w:w="108" w:type="dxa"/>
          </w:tblCellMar>
        </w:tblPrEx>
        <w:trPr>
          <w:trHeight w:val="284" w:hRule="atLeast"/>
        </w:trPr>
        <w:tc>
          <w:tcPr>
            <w:tcW w:w="1649"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用户账号管理</w:t>
            </w: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用户角色</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系统角色需按法案要求进行划分，至少有系统管理员、密码管理员、配置管理员、审计管理员、普通用户等多种角色</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1"/>
                <w:szCs w:val="21"/>
              </w:rPr>
            </w:pPr>
          </w:p>
        </w:tc>
        <w:tc>
          <w:tcPr>
            <w:tcW w:w="86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身份认证</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自然人（员工帐户）登录系统时支持静态口令、Radius认证、AD域、动态令牌认证、数字证书认证、USBKEY认证、短信认证</w:t>
            </w:r>
          </w:p>
        </w:tc>
      </w:tr>
      <w:tr>
        <w:tblPrEx>
          <w:tblCellMar>
            <w:top w:w="0" w:type="dxa"/>
            <w:left w:w="108" w:type="dxa"/>
            <w:bottom w:w="0" w:type="dxa"/>
            <w:right w:w="108" w:type="dxa"/>
          </w:tblCellMar>
        </w:tblPrEx>
        <w:trPr>
          <w:trHeight w:val="189" w:hRule="atLeast"/>
        </w:trPr>
        <w:tc>
          <w:tcPr>
            <w:tcW w:w="1649"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Google手机动态令牌认证、LDAP</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系统内置PKI证书认证功能，用户只需配置USB-KEY即可实现证书登陆认证，实现双因素认证（USB-KEY+PIN码）</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系统内置动态令牌认证，用户不需要额外部署认证服务器，通过配置动态令牌实现双因素认证</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支持多因子认证自定义组合，可为不同用户组分配不同的认证策略，支持单因素，双因素和多因素的认证策略</w:t>
            </w:r>
          </w:p>
        </w:tc>
      </w:tr>
      <w:tr>
        <w:tblPrEx>
          <w:tblCellMar>
            <w:top w:w="0" w:type="dxa"/>
            <w:left w:w="108" w:type="dxa"/>
            <w:bottom w:w="0" w:type="dxa"/>
            <w:right w:w="108" w:type="dxa"/>
          </w:tblCellMar>
        </w:tblPrEx>
        <w:trPr>
          <w:trHeight w:val="142" w:hRule="atLeast"/>
        </w:trPr>
        <w:tc>
          <w:tcPr>
            <w:tcW w:w="1649"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1"/>
                <w:szCs w:val="21"/>
              </w:rPr>
            </w:pPr>
          </w:p>
        </w:tc>
        <w:tc>
          <w:tcPr>
            <w:tcW w:w="86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批量管理</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支持以excel格式批量导入和导出用户帐号</w:t>
            </w:r>
          </w:p>
        </w:tc>
      </w:tr>
      <w:tr>
        <w:tblPrEx>
          <w:tblCellMar>
            <w:top w:w="0" w:type="dxa"/>
            <w:left w:w="108" w:type="dxa"/>
            <w:bottom w:w="0" w:type="dxa"/>
            <w:right w:w="108" w:type="dxa"/>
          </w:tblCellMar>
        </w:tblPrEx>
        <w:trPr>
          <w:trHeight w:val="142" w:hRule="atLeast"/>
        </w:trPr>
        <w:tc>
          <w:tcPr>
            <w:tcW w:w="1649"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用户帐号自动改密，可制定改密计划对用户帐号进行定期改密，并发送邮件通知用户</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在线批量编辑，提供堡垒机用户的批量编辑功能，以方便用户管理员批量修改帐号属性及关联信息，包括用户状态、有效时间。</w:t>
            </w:r>
          </w:p>
        </w:tc>
      </w:tr>
      <w:tr>
        <w:tblPrEx>
          <w:tblCellMar>
            <w:top w:w="0" w:type="dxa"/>
            <w:left w:w="108" w:type="dxa"/>
            <w:bottom w:w="0" w:type="dxa"/>
            <w:right w:w="108" w:type="dxa"/>
          </w:tblCellMar>
        </w:tblPrEx>
        <w:trPr>
          <w:trHeight w:val="142" w:hRule="atLeast"/>
        </w:trPr>
        <w:tc>
          <w:tcPr>
            <w:tcW w:w="1649"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支持从AD服务器批量导入用户帐号及启用LDAP服务器签名设置为要求签名模式</w:t>
            </w:r>
          </w:p>
        </w:tc>
      </w:tr>
      <w:tr>
        <w:tblPrEx>
          <w:tblCellMar>
            <w:top w:w="0" w:type="dxa"/>
            <w:left w:w="108" w:type="dxa"/>
            <w:bottom w:w="0" w:type="dxa"/>
            <w:right w:w="108" w:type="dxa"/>
          </w:tblCellMar>
        </w:tblPrEx>
        <w:trPr>
          <w:trHeight w:val="142" w:hRule="atLeast"/>
        </w:trPr>
        <w:tc>
          <w:tcPr>
            <w:tcW w:w="1649"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设备及账号密码管理</w:t>
            </w:r>
          </w:p>
        </w:tc>
        <w:tc>
          <w:tcPr>
            <w:tcW w:w="868" w:type="dxa"/>
            <w:vMerge w:val="restart"/>
            <w:tcBorders>
              <w:top w:val="nil"/>
              <w:left w:val="single" w:color="auto" w:sz="4" w:space="0"/>
              <w:bottom w:val="nil"/>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批量管理</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支持批量导入导出运维用户、目标设备、账号密码等，支持目标设备账号批量新增</w:t>
            </w:r>
          </w:p>
        </w:tc>
      </w:tr>
      <w:tr>
        <w:tblPrEx>
          <w:tblCellMar>
            <w:top w:w="0" w:type="dxa"/>
            <w:left w:w="108" w:type="dxa"/>
            <w:bottom w:w="0" w:type="dxa"/>
            <w:right w:w="108" w:type="dxa"/>
          </w:tblCellMar>
        </w:tblPrEx>
        <w:trPr>
          <w:trHeight w:val="503"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nil"/>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支持在线批量设备帐号修改；支持设备帐号属性添加和修改，包括帐号密码、应用参数、帐号状态、特权帐号、应用端口、应用密码提示、帐号类型、帐号提示符、帐号同步、改密脚本。</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SSH公钥登录</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通过ssh-keygen产生公钥和私钥密码对，上传堡垒机，可实现免密码登录服务器</w:t>
            </w:r>
          </w:p>
        </w:tc>
      </w:tr>
      <w:tr>
        <w:tblPrEx>
          <w:tblCellMar>
            <w:top w:w="0" w:type="dxa"/>
            <w:left w:w="108" w:type="dxa"/>
            <w:bottom w:w="0" w:type="dxa"/>
            <w:right w:w="108" w:type="dxa"/>
          </w:tblCellMar>
        </w:tblPrEx>
        <w:trPr>
          <w:trHeight w:val="142"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密函打印</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支持将目标设备资产的账号密码进行密函打印导出</w:t>
            </w:r>
            <w:r>
              <w:rPr>
                <w:rFonts w:hint="eastAsia" w:ascii="宋体" w:hAnsi="宋体" w:cs="宋体"/>
                <w:color w:val="auto"/>
                <w:sz w:val="21"/>
                <w:szCs w:val="21"/>
              </w:rPr>
              <w:t>（提供功能截图证明）</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设备账号自动改密</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支持linux、unix、网络设备、windows2000/2003/2008的自动改密功能；无需通过插件、引擎或特殊端口对目标设备进行自动改密</w:t>
            </w:r>
          </w:p>
        </w:tc>
      </w:tr>
      <w:tr>
        <w:tblPrEx>
          <w:tblCellMar>
            <w:top w:w="0" w:type="dxa"/>
            <w:left w:w="108" w:type="dxa"/>
            <w:bottom w:w="0" w:type="dxa"/>
            <w:right w:w="108" w:type="dxa"/>
          </w:tblCellMar>
        </w:tblPrEx>
        <w:trPr>
          <w:trHeight w:val="261"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支持Windows winRM服务方式自动改密</w:t>
            </w:r>
          </w:p>
        </w:tc>
      </w:tr>
      <w:tr>
        <w:tblPrEx>
          <w:tblCellMar>
            <w:top w:w="0" w:type="dxa"/>
            <w:left w:w="108" w:type="dxa"/>
            <w:bottom w:w="0" w:type="dxa"/>
            <w:right w:w="108" w:type="dxa"/>
          </w:tblCellMar>
        </w:tblPrEx>
        <w:trPr>
          <w:trHeight w:val="317"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在系统完成密码修改之后，自动进行新密码登录测试，以便进一步校验密码修改结果</w:t>
            </w:r>
          </w:p>
        </w:tc>
      </w:tr>
      <w:tr>
        <w:tblPrEx>
          <w:tblCellMar>
            <w:top w:w="0" w:type="dxa"/>
            <w:left w:w="108" w:type="dxa"/>
            <w:bottom w:w="0" w:type="dxa"/>
            <w:right w:w="108" w:type="dxa"/>
          </w:tblCellMar>
        </w:tblPrEx>
        <w:trPr>
          <w:trHeight w:val="284" w:hRule="atLeast"/>
        </w:trPr>
        <w:tc>
          <w:tcPr>
            <w:tcW w:w="1649"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权限管理</w:t>
            </w: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分权管理</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支持系统管理员按部门进行分权管理，各部门系统管理员只能管理和授权本部门管辖内的设备资源；支持审计管理员分权管理，只能审计被授权的设备。</w:t>
            </w:r>
          </w:p>
        </w:tc>
      </w:tr>
      <w:tr>
        <w:tblPrEx>
          <w:tblCellMar>
            <w:top w:w="0" w:type="dxa"/>
            <w:left w:w="108" w:type="dxa"/>
            <w:bottom w:w="0" w:type="dxa"/>
            <w:right w:w="108" w:type="dxa"/>
          </w:tblCellMar>
        </w:tblPrEx>
        <w:trPr>
          <w:trHeight w:val="182"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restart"/>
            <w:tcBorders>
              <w:top w:val="nil"/>
              <w:left w:val="single" w:color="auto" w:sz="4" w:space="0"/>
              <w:bottom w:val="nil"/>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访问控制功能</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访问控制策略和字符命令策略触发告警和拒绝时可以发送邮件给指定邮箱</w:t>
            </w:r>
          </w:p>
        </w:tc>
      </w:tr>
      <w:tr>
        <w:tblPrEx>
          <w:tblCellMar>
            <w:top w:w="0" w:type="dxa"/>
            <w:left w:w="108" w:type="dxa"/>
            <w:bottom w:w="0" w:type="dxa"/>
            <w:right w:w="108" w:type="dxa"/>
          </w:tblCellMar>
        </w:tblPrEx>
        <w:trPr>
          <w:trHeight w:val="426"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nil"/>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系统提供访问控制功能，支持对系统的用户登录进行可配置的策略设置，根据策略因子：用户或用户组、日期、每月、每周、时间、源地址、目标地址、目标端口、目标账号、动作(接受、拒绝)来定制访问策略对用户或用户组行为进行控制</w:t>
            </w:r>
          </w:p>
        </w:tc>
      </w:tr>
      <w:tr>
        <w:tblPrEx>
          <w:tblCellMar>
            <w:top w:w="0" w:type="dxa"/>
            <w:left w:w="108" w:type="dxa"/>
            <w:bottom w:w="0" w:type="dxa"/>
            <w:right w:w="108" w:type="dxa"/>
          </w:tblCellMar>
        </w:tblPrEx>
        <w:trPr>
          <w:trHeight w:val="142"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nil"/>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提供禁审功能，可对部分设定的控制策略的会话不审计录像，防止机密信息二次泄露</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命令控制功能</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系统可以对字符操作的命令进行控制，通过制定命令黑白名单实现对命令的有效管理，可以对命令集合进行告警或者自动阻断，支持正则表达式匹配</w:t>
            </w:r>
          </w:p>
        </w:tc>
      </w:tr>
      <w:tr>
        <w:tblPrEx>
          <w:tblCellMar>
            <w:top w:w="0" w:type="dxa"/>
            <w:left w:w="108" w:type="dxa"/>
            <w:bottom w:w="0" w:type="dxa"/>
            <w:right w:w="108" w:type="dxa"/>
          </w:tblCellMar>
        </w:tblPrEx>
        <w:trPr>
          <w:trHeight w:val="426"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SFTP和FTP目录锁定</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默认规定用户登录后，只能在其目录下进行操作，不能随意跳转至其他目录进行操作，也可通过开关打开限制</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工单流程</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系统应具备工单流程功能。如运维人员需要访问目标设备，首先需要向管理员提交访问申请，得到管理员审批后，运维人员才能对目标设备进行访问操作</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管理员可以创建工单，指派运维人员在指定时间内对指定资产具有访问登录权限，以完成其运维工作</w:t>
            </w:r>
          </w:p>
        </w:tc>
      </w:tr>
      <w:tr>
        <w:tblPrEx>
          <w:tblCellMar>
            <w:top w:w="0" w:type="dxa"/>
            <w:left w:w="108" w:type="dxa"/>
            <w:bottom w:w="0" w:type="dxa"/>
            <w:right w:w="108" w:type="dxa"/>
          </w:tblCellMar>
        </w:tblPrEx>
        <w:trPr>
          <w:trHeight w:val="284" w:hRule="atLeast"/>
        </w:trPr>
        <w:tc>
          <w:tcPr>
            <w:tcW w:w="1649"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运维审计</w:t>
            </w:r>
          </w:p>
        </w:tc>
        <w:tc>
          <w:tcPr>
            <w:tcW w:w="86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命令记录</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支持命令记录：字符终端命令记录、图形终端键盘操作记录、数据库运维SQL命令、图形标题栏识别（OCR）</w:t>
            </w:r>
          </w:p>
        </w:tc>
      </w:tr>
      <w:tr>
        <w:tblPrEx>
          <w:tblCellMar>
            <w:top w:w="0" w:type="dxa"/>
            <w:left w:w="108" w:type="dxa"/>
            <w:bottom w:w="0" w:type="dxa"/>
            <w:right w:w="108" w:type="dxa"/>
          </w:tblCellMar>
        </w:tblPrEx>
        <w:trPr>
          <w:trHeight w:val="426"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字符终端命令记录：用户可以从任意命令开始查看本命令输出结果或播放；命令分析功能将输入命令和输出结果的智能分离，可以只查看字符命令，也可以显示该命令的返回结果</w:t>
            </w:r>
          </w:p>
        </w:tc>
      </w:tr>
      <w:tr>
        <w:tblPrEx>
          <w:tblCellMar>
            <w:top w:w="0" w:type="dxa"/>
            <w:left w:w="108" w:type="dxa"/>
            <w:bottom w:w="0" w:type="dxa"/>
            <w:right w:w="108" w:type="dxa"/>
          </w:tblCellMar>
        </w:tblPrEx>
        <w:trPr>
          <w:trHeight w:val="142"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图形终端键盘操作记录：支持图形终端键盘操作记录，完整记录键盘动作</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数据库运维SQL命令：系统应具备审计到详细的SQL语句，而非键盘符指令，并要求记录到SQL语句的执行时间</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图形标题栏识别（OCR）：系统应具备对图形运维中的标题名进行智能提取，并可以从任意一个标题名开始回放。可支持中英文操作系统的标题栏体系。</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录像记录</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WEB在线回放完整会话；字符终端操作会话支持倍速播放；图形操作会话支持拖拉定位播放；支持暂停、停止、重新播放等播放控制操作</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审计录像采用数据流回放技术，空闲操作（无屏幕变化）日志无增长，节省了日志空间</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restart"/>
            <w:tcBorders>
              <w:top w:val="nil"/>
              <w:left w:val="single" w:color="auto" w:sz="4" w:space="0"/>
              <w:bottom w:val="nil"/>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传输文件备份</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系统应具备审计到FTP/SFTP传输的原始文件，并可以在审计系统上进行备份并下载查看其具体内容。支持人工开关自由选择是否备份原文件。</w:t>
            </w:r>
          </w:p>
        </w:tc>
      </w:tr>
      <w:tr>
        <w:tblPrEx>
          <w:tblCellMar>
            <w:top w:w="0" w:type="dxa"/>
            <w:left w:w="108" w:type="dxa"/>
            <w:bottom w:w="0" w:type="dxa"/>
            <w:right w:w="108" w:type="dxa"/>
          </w:tblCellMar>
        </w:tblPrEx>
        <w:trPr>
          <w:trHeight w:val="292"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continue"/>
            <w:tcBorders>
              <w:top w:val="nil"/>
              <w:left w:val="single" w:color="auto" w:sz="4" w:space="0"/>
              <w:bottom w:val="nil"/>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对大于一定大小的FTP/SFTP运维审计中的文件可进行异地转储，并可记录文件md5值，保障文件的完整性和有效性。</w:t>
            </w:r>
          </w:p>
        </w:tc>
      </w:tr>
      <w:tr>
        <w:tblPrEx>
          <w:tblCellMar>
            <w:top w:w="0" w:type="dxa"/>
            <w:left w:w="108" w:type="dxa"/>
            <w:bottom w:w="0" w:type="dxa"/>
            <w:right w:w="108" w:type="dxa"/>
          </w:tblCellMar>
        </w:tblPrEx>
        <w:trPr>
          <w:trHeight w:val="426"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日志搜索</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提供搜索功能，可组合目标主机地址、登录地址、堡垒机用户、远程账号、时间、键盘输入的命令、标题栏等条件进行搜索，快速定位会话记录；搜索条件“用户命令”支持“或”和“与”逻辑关系</w:t>
            </w:r>
          </w:p>
        </w:tc>
      </w:tr>
      <w:tr>
        <w:tblPrEx>
          <w:tblCellMar>
            <w:top w:w="0" w:type="dxa"/>
            <w:left w:w="108" w:type="dxa"/>
            <w:bottom w:w="0" w:type="dxa"/>
            <w:right w:w="108" w:type="dxa"/>
          </w:tblCellMar>
        </w:tblPrEx>
        <w:trPr>
          <w:trHeight w:val="213"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字符运维命令返回值搜索和屏幕导出，支持搜索命令的返回值信息，并支持将屏幕信息导出为文本</w:t>
            </w:r>
          </w:p>
        </w:tc>
      </w:tr>
      <w:tr>
        <w:tblPrEx>
          <w:tblCellMar>
            <w:top w:w="0" w:type="dxa"/>
            <w:left w:w="108" w:type="dxa"/>
            <w:bottom w:w="0" w:type="dxa"/>
            <w:right w:w="108" w:type="dxa"/>
          </w:tblCellMar>
        </w:tblPrEx>
        <w:trPr>
          <w:trHeight w:val="207" w:hRule="atLeast"/>
        </w:trPr>
        <w:tc>
          <w:tcPr>
            <w:tcW w:w="1649"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告警模块</w:t>
            </w: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图形操作告警</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支持RDP会话针对操作行为告警（针对标题栏进行告警），可进行告警内容设置</w:t>
            </w:r>
          </w:p>
        </w:tc>
      </w:tr>
      <w:tr>
        <w:tblPrEx>
          <w:tblCellMar>
            <w:top w:w="0" w:type="dxa"/>
            <w:left w:w="108" w:type="dxa"/>
            <w:bottom w:w="0" w:type="dxa"/>
            <w:right w:w="108" w:type="dxa"/>
          </w:tblCellMar>
        </w:tblPrEx>
        <w:trPr>
          <w:trHeight w:val="281"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数据库操作告警</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支持数据库应用针对操作命令进行告警，可进行告警内容设置（告警内容支持动作，表名等）</w:t>
            </w:r>
          </w:p>
        </w:tc>
      </w:tr>
      <w:tr>
        <w:tblPrEx>
          <w:tblCellMar>
            <w:top w:w="0" w:type="dxa"/>
            <w:left w:w="108" w:type="dxa"/>
            <w:bottom w:w="0" w:type="dxa"/>
            <w:right w:w="108" w:type="dxa"/>
          </w:tblCellMar>
        </w:tblPrEx>
        <w:trPr>
          <w:trHeight w:val="298" w:hRule="atLeast"/>
        </w:trPr>
        <w:tc>
          <w:tcPr>
            <w:tcW w:w="1649"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数据管理</w:t>
            </w: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数据存储管理</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存储告警：日志存储超过设置的阀值进行邮件告警，支持定期删除计划，只保留设置时间段的日志</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数据备份管理</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支持通过FTP和SFTP进行系统配置备份和还原，支持FTP和SFTP和本地方式进行审计日志的备份，系统配置和审计日志均可可自定义备份计划</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离线播放</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导出日志可以使用离线播放器进行日志查看和日志检索，包括命令、录像、标题栏内容等</w:t>
            </w:r>
          </w:p>
        </w:tc>
      </w:tr>
      <w:tr>
        <w:tblPrEx>
          <w:tblCellMar>
            <w:top w:w="0" w:type="dxa"/>
            <w:left w:w="108" w:type="dxa"/>
            <w:bottom w:w="0" w:type="dxa"/>
            <w:right w:w="108" w:type="dxa"/>
          </w:tblCellMar>
        </w:tblPrEx>
        <w:trPr>
          <w:trHeight w:val="284" w:hRule="atLeast"/>
        </w:trPr>
        <w:tc>
          <w:tcPr>
            <w:tcW w:w="1649"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统计报表</w:t>
            </w: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报表周期任务</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sz w:val="21"/>
                <w:szCs w:val="21"/>
              </w:rPr>
              <w:t>系统应具备在对系统制定报表任务时，可以配置时间周期，支持以图(柱、饼等)，统计、明细数据的方式表现</w:t>
            </w:r>
          </w:p>
        </w:tc>
      </w:tr>
      <w:tr>
        <w:tblPrEx>
          <w:tblCellMar>
            <w:top w:w="0" w:type="dxa"/>
            <w:left w:w="108" w:type="dxa"/>
            <w:bottom w:w="0" w:type="dxa"/>
            <w:right w:w="108" w:type="dxa"/>
          </w:tblCellMar>
        </w:tblPrEx>
        <w:trPr>
          <w:trHeight w:val="284" w:hRule="atLeast"/>
        </w:trPr>
        <w:tc>
          <w:tcPr>
            <w:tcW w:w="164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运维统计分析</w:t>
            </w:r>
          </w:p>
        </w:tc>
        <w:tc>
          <w:tcPr>
            <w:tcW w:w="636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支持按照运维用户和资产做运维时长的统计</w:t>
            </w:r>
          </w:p>
        </w:tc>
      </w:tr>
      <w:tr>
        <w:tblPrEx>
          <w:tblCellMar>
            <w:top w:w="0" w:type="dxa"/>
            <w:left w:w="108" w:type="dxa"/>
            <w:bottom w:w="0" w:type="dxa"/>
            <w:right w:w="108" w:type="dxa"/>
          </w:tblCellMar>
        </w:tblPrEx>
        <w:trPr>
          <w:trHeight w:val="167" w:hRule="atLeast"/>
        </w:trPr>
        <w:tc>
          <w:tcPr>
            <w:tcW w:w="25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API接口</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1"/>
                <w:szCs w:val="21"/>
              </w:rPr>
            </w:pPr>
            <w:r>
              <w:rPr>
                <w:rFonts w:hint="eastAsia" w:ascii="宋体" w:hAnsi="宋体" w:cs="宋体"/>
                <w:color w:val="000000" w:themeColor="text1"/>
                <w:sz w:val="21"/>
                <w:szCs w:val="21"/>
                <w14:textFill>
                  <w14:solidFill>
                    <w14:schemeClr w14:val="tx1"/>
                  </w14:solidFill>
                </w14:textFill>
              </w:rPr>
              <w:sym w:font="Wingdings 2" w:char="00EA"/>
            </w:r>
            <w:r>
              <w:rPr>
                <w:rFonts w:hint="eastAsia" w:ascii="宋体" w:hAnsi="宋体" w:cs="宋体"/>
                <w:color w:val="000000"/>
                <w:sz w:val="21"/>
                <w:szCs w:val="21"/>
              </w:rPr>
              <w:t>支持API接口，实现与第三平台对接</w:t>
            </w:r>
            <w:r>
              <w:rPr>
                <w:rFonts w:hint="eastAsia" w:ascii="宋体" w:hAnsi="宋体" w:cs="宋体"/>
                <w:color w:val="auto"/>
                <w:sz w:val="21"/>
                <w:szCs w:val="21"/>
              </w:rPr>
              <w:t>（提供功能截图证明）</w:t>
            </w:r>
          </w:p>
        </w:tc>
      </w:tr>
      <w:tr>
        <w:tblPrEx>
          <w:tblCellMar>
            <w:top w:w="0" w:type="dxa"/>
            <w:left w:w="108" w:type="dxa"/>
            <w:bottom w:w="0" w:type="dxa"/>
            <w:right w:w="108" w:type="dxa"/>
          </w:tblCellMar>
        </w:tblPrEx>
        <w:trPr>
          <w:trHeight w:val="167" w:hRule="atLeast"/>
        </w:trPr>
        <w:tc>
          <w:tcPr>
            <w:tcW w:w="25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1"/>
                <w:szCs w:val="21"/>
              </w:rPr>
            </w:pPr>
            <w:r>
              <w:rPr>
                <w:rFonts w:hint="eastAsia" w:ascii="宋体" w:hAnsi="宋体" w:cs="宋体"/>
                <w:color w:val="000000"/>
                <w:sz w:val="21"/>
                <w:szCs w:val="21"/>
              </w:rPr>
              <w:t>免费包修期</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提供不少于5年原厂免费包修服务。</w:t>
            </w:r>
          </w:p>
        </w:tc>
      </w:tr>
      <w:bookmarkEnd w:id="22"/>
      <w:bookmarkEnd w:id="23"/>
      <w:bookmarkEnd w:id="24"/>
    </w:tbl>
    <w:p>
      <w:pPr>
        <w:numPr>
          <w:ilvl w:val="255"/>
          <w:numId w:val="0"/>
        </w:numPr>
        <w:spacing w:line="360" w:lineRule="auto"/>
        <w:outlineLvl w:val="1"/>
        <w:rPr>
          <w:rFonts w:ascii="宋体" w:hAnsi="宋体"/>
          <w:b/>
          <w:sz w:val="24"/>
        </w:rPr>
      </w:pPr>
      <w:r>
        <w:rPr>
          <w:rFonts w:hint="eastAsia" w:ascii="宋体" w:hAnsi="宋体"/>
          <w:b/>
          <w:sz w:val="24"/>
        </w:rPr>
        <w:t>三、实施要求</w:t>
      </w:r>
    </w:p>
    <w:p>
      <w:pPr>
        <w:spacing w:line="360" w:lineRule="auto"/>
        <w:outlineLvl w:val="1"/>
        <w:rPr>
          <w:b/>
          <w:szCs w:val="21"/>
        </w:rPr>
      </w:pPr>
      <w:r>
        <w:rPr>
          <w:b/>
          <w:szCs w:val="21"/>
        </w:rPr>
        <w:t>1</w:t>
      </w:r>
      <w:r>
        <w:rPr>
          <w:rFonts w:hint="eastAsia"/>
          <w:b/>
          <w:szCs w:val="21"/>
        </w:rPr>
        <w:t>、实施要求</w:t>
      </w:r>
    </w:p>
    <w:p>
      <w:pPr>
        <w:numPr>
          <w:ilvl w:val="0"/>
          <w:numId w:val="6"/>
        </w:numPr>
        <w:spacing w:line="360" w:lineRule="auto"/>
        <w:ind w:left="-2" w:leftChars="-1" w:firstLine="426" w:firstLineChars="203"/>
        <w:rPr>
          <w:rFonts w:ascii="宋体" w:hAnsi="宋体"/>
          <w:szCs w:val="21"/>
        </w:rPr>
      </w:pPr>
      <w:r>
        <w:rPr>
          <w:rFonts w:hint="eastAsia" w:ascii="宋体" w:hAnsi="宋体"/>
          <w:color w:val="000000"/>
          <w:kern w:val="0"/>
        </w:rPr>
        <w:t>投标人成立由到货上架、布线</w:t>
      </w:r>
      <w:r>
        <w:rPr>
          <w:rFonts w:ascii="宋体" w:hAnsi="宋体"/>
          <w:color w:val="000000"/>
          <w:kern w:val="0"/>
        </w:rPr>
        <w:t>、上电、</w:t>
      </w:r>
      <w:r>
        <w:rPr>
          <w:rFonts w:hint="eastAsia" w:ascii="宋体" w:hAnsi="宋体"/>
          <w:color w:val="000000"/>
          <w:kern w:val="0"/>
        </w:rPr>
        <w:t>安装</w:t>
      </w:r>
      <w:r>
        <w:rPr>
          <w:rFonts w:ascii="宋体" w:hAnsi="宋体"/>
          <w:color w:val="000000"/>
          <w:kern w:val="0"/>
        </w:rPr>
        <w:t>部署</w:t>
      </w:r>
      <w:r>
        <w:rPr>
          <w:rFonts w:hint="eastAsia" w:ascii="宋体" w:hAnsi="宋体"/>
          <w:color w:val="000000"/>
          <w:kern w:val="0"/>
        </w:rPr>
        <w:t>、</w:t>
      </w:r>
      <w:r>
        <w:rPr>
          <w:rFonts w:ascii="宋体" w:hAnsi="宋体"/>
          <w:color w:val="000000"/>
          <w:kern w:val="0"/>
        </w:rPr>
        <w:t>高可用测试等</w:t>
      </w:r>
      <w:r>
        <w:rPr>
          <w:rFonts w:hint="eastAsia" w:ascii="宋体" w:hAnsi="宋体"/>
          <w:color w:val="000000"/>
          <w:kern w:val="0"/>
        </w:rPr>
        <w:t>服务组成的项目团队，团队成员必须由经验丰富的人员组成，团队成员应具有强烈的服务意识和高度的责任感。项目团队人员包</w:t>
      </w:r>
      <w:r>
        <w:rPr>
          <w:rFonts w:hint="eastAsia" w:ascii="宋体" w:hAnsi="宋体"/>
          <w:szCs w:val="21"/>
        </w:rPr>
        <w:t>项目经理、系统架构师等项目核心成员须具备本科及以上学历、主持相关大型项目的实施经验，投标人未经</w:t>
      </w:r>
      <w:r>
        <w:rPr>
          <w:rFonts w:ascii="宋体" w:hAnsi="宋体"/>
          <w:szCs w:val="21"/>
        </w:rPr>
        <w:t>招标人</w:t>
      </w:r>
      <w:r>
        <w:rPr>
          <w:rFonts w:hint="eastAsia" w:ascii="宋体" w:hAnsi="宋体"/>
          <w:szCs w:val="21"/>
        </w:rPr>
        <w:t>同意项目经理、系统架构师及各分项目负责人在项目结束前不得变更。投标人需提供项目实施的人员组织架构图以及项目组人员情况表。</w:t>
      </w:r>
    </w:p>
    <w:tbl>
      <w:tblPr>
        <w:tblStyle w:val="53"/>
        <w:tblW w:w="9498"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5"/>
        <w:gridCol w:w="850"/>
        <w:gridCol w:w="1276"/>
        <w:gridCol w:w="2194"/>
        <w:gridCol w:w="1380"/>
        <w:gridCol w:w="1425"/>
        <w:gridCol w:w="123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35" w:type="dxa"/>
            <w:tcBorders>
              <w:left w:val="single" w:color="auto" w:sz="4" w:space="0"/>
              <w:bottom w:val="single" w:color="auto" w:sz="4" w:space="0"/>
            </w:tcBorders>
          </w:tcPr>
          <w:p>
            <w:pPr>
              <w:spacing w:line="360" w:lineRule="auto"/>
              <w:jc w:val="center"/>
              <w:rPr>
                <w:sz w:val="18"/>
                <w:szCs w:val="18"/>
              </w:rPr>
            </w:pPr>
            <w:r>
              <w:rPr>
                <w:rFonts w:hint="eastAsia"/>
                <w:sz w:val="18"/>
                <w:szCs w:val="18"/>
              </w:rPr>
              <w:t>序号</w:t>
            </w:r>
          </w:p>
        </w:tc>
        <w:tc>
          <w:tcPr>
            <w:tcW w:w="850" w:type="dxa"/>
            <w:tcBorders>
              <w:left w:val="single" w:color="auto" w:sz="4" w:space="0"/>
              <w:bottom w:val="single" w:color="auto" w:sz="4" w:space="0"/>
            </w:tcBorders>
          </w:tcPr>
          <w:p>
            <w:pPr>
              <w:spacing w:line="360" w:lineRule="auto"/>
              <w:jc w:val="center"/>
              <w:rPr>
                <w:sz w:val="18"/>
                <w:szCs w:val="18"/>
              </w:rPr>
            </w:pPr>
            <w:r>
              <w:rPr>
                <w:rFonts w:hint="eastAsia"/>
                <w:sz w:val="18"/>
                <w:szCs w:val="18"/>
              </w:rPr>
              <w:t>姓名</w:t>
            </w:r>
          </w:p>
        </w:tc>
        <w:tc>
          <w:tcPr>
            <w:tcW w:w="1276" w:type="dxa"/>
            <w:tcBorders>
              <w:left w:val="single" w:color="auto" w:sz="4" w:space="0"/>
              <w:bottom w:val="single" w:color="auto" w:sz="4" w:space="0"/>
            </w:tcBorders>
          </w:tcPr>
          <w:p>
            <w:pPr>
              <w:spacing w:line="360" w:lineRule="auto"/>
              <w:jc w:val="center"/>
              <w:rPr>
                <w:sz w:val="18"/>
                <w:szCs w:val="18"/>
              </w:rPr>
            </w:pPr>
            <w:r>
              <w:rPr>
                <w:rFonts w:hint="eastAsia"/>
                <w:sz w:val="18"/>
                <w:szCs w:val="18"/>
              </w:rPr>
              <w:t>角色</w:t>
            </w:r>
          </w:p>
        </w:tc>
        <w:tc>
          <w:tcPr>
            <w:tcW w:w="2194" w:type="dxa"/>
            <w:tcBorders>
              <w:left w:val="single" w:color="auto" w:sz="4" w:space="0"/>
              <w:bottom w:val="single" w:color="auto" w:sz="4" w:space="0"/>
              <w:right w:val="single" w:color="auto" w:sz="4" w:space="0"/>
            </w:tcBorders>
          </w:tcPr>
          <w:p>
            <w:pPr>
              <w:spacing w:line="360" w:lineRule="auto"/>
              <w:jc w:val="center"/>
              <w:rPr>
                <w:sz w:val="18"/>
                <w:szCs w:val="18"/>
              </w:rPr>
            </w:pPr>
            <w:r>
              <w:rPr>
                <w:rFonts w:hint="eastAsia"/>
                <w:sz w:val="18"/>
                <w:szCs w:val="18"/>
              </w:rPr>
              <w:t>职责</w:t>
            </w:r>
          </w:p>
        </w:tc>
        <w:tc>
          <w:tcPr>
            <w:tcW w:w="1380" w:type="dxa"/>
            <w:tcBorders>
              <w:left w:val="single" w:color="auto" w:sz="4" w:space="0"/>
              <w:bottom w:val="single" w:color="auto" w:sz="4" w:space="0"/>
              <w:right w:val="single" w:color="auto" w:sz="4" w:space="0"/>
            </w:tcBorders>
          </w:tcPr>
          <w:p>
            <w:pPr>
              <w:spacing w:line="360" w:lineRule="auto"/>
              <w:jc w:val="center"/>
              <w:rPr>
                <w:sz w:val="18"/>
                <w:szCs w:val="18"/>
              </w:rPr>
            </w:pPr>
            <w:r>
              <w:rPr>
                <w:rFonts w:hint="eastAsia"/>
                <w:sz w:val="18"/>
                <w:szCs w:val="18"/>
              </w:rPr>
              <w:t>年龄</w:t>
            </w:r>
          </w:p>
        </w:tc>
        <w:tc>
          <w:tcPr>
            <w:tcW w:w="1425" w:type="dxa"/>
            <w:tcBorders>
              <w:left w:val="single" w:color="auto" w:sz="4" w:space="0"/>
              <w:bottom w:val="single" w:color="auto" w:sz="4" w:space="0"/>
              <w:right w:val="single" w:color="auto" w:sz="4" w:space="0"/>
            </w:tcBorders>
          </w:tcPr>
          <w:p>
            <w:pPr>
              <w:spacing w:line="360" w:lineRule="auto"/>
              <w:jc w:val="center"/>
              <w:rPr>
                <w:sz w:val="18"/>
                <w:szCs w:val="18"/>
              </w:rPr>
            </w:pPr>
            <w:r>
              <w:rPr>
                <w:rFonts w:hint="eastAsia"/>
                <w:sz w:val="18"/>
                <w:szCs w:val="18"/>
              </w:rPr>
              <w:t>项目</w:t>
            </w:r>
            <w:r>
              <w:rPr>
                <w:sz w:val="18"/>
                <w:szCs w:val="18"/>
              </w:rPr>
              <w:t>经验</w:t>
            </w:r>
          </w:p>
        </w:tc>
        <w:tc>
          <w:tcPr>
            <w:tcW w:w="1238" w:type="dxa"/>
            <w:tcBorders>
              <w:left w:val="single" w:color="auto" w:sz="4" w:space="0"/>
              <w:bottom w:val="single" w:color="auto" w:sz="4" w:space="0"/>
              <w:right w:val="single" w:color="auto" w:sz="4" w:space="0"/>
            </w:tcBorders>
          </w:tcPr>
          <w:p>
            <w:pPr>
              <w:spacing w:line="360" w:lineRule="auto"/>
              <w:jc w:val="center"/>
              <w:rPr>
                <w:sz w:val="18"/>
                <w:szCs w:val="18"/>
              </w:rPr>
            </w:pPr>
            <w:r>
              <w:rPr>
                <w:rFonts w:hint="eastAsia"/>
                <w:sz w:val="18"/>
                <w:szCs w:val="18"/>
              </w:rPr>
              <w:t>现场/远程</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jc w:val="center"/>
        </w:trPr>
        <w:tc>
          <w:tcPr>
            <w:tcW w:w="1135" w:type="dxa"/>
            <w:tcBorders>
              <w:top w:val="single" w:color="auto" w:sz="4" w:space="0"/>
              <w:left w:val="single" w:color="auto" w:sz="4" w:space="0"/>
              <w:bottom w:val="single" w:color="auto" w:sz="4" w:space="0"/>
            </w:tcBorders>
          </w:tcPr>
          <w:p>
            <w:pPr>
              <w:spacing w:line="360" w:lineRule="auto"/>
              <w:jc w:val="center"/>
              <w:rPr>
                <w:sz w:val="18"/>
                <w:szCs w:val="18"/>
              </w:rPr>
            </w:pPr>
          </w:p>
        </w:tc>
        <w:tc>
          <w:tcPr>
            <w:tcW w:w="850" w:type="dxa"/>
            <w:tcBorders>
              <w:top w:val="single" w:color="auto" w:sz="4" w:space="0"/>
              <w:left w:val="single" w:color="auto" w:sz="4" w:space="0"/>
              <w:bottom w:val="single" w:color="auto" w:sz="4" w:space="0"/>
            </w:tcBorders>
          </w:tcPr>
          <w:p>
            <w:pPr>
              <w:spacing w:line="360" w:lineRule="auto"/>
              <w:jc w:val="center"/>
              <w:rPr>
                <w:sz w:val="18"/>
                <w:szCs w:val="18"/>
              </w:rPr>
            </w:pPr>
          </w:p>
        </w:tc>
        <w:tc>
          <w:tcPr>
            <w:tcW w:w="1276" w:type="dxa"/>
            <w:tcBorders>
              <w:top w:val="single" w:color="auto" w:sz="4" w:space="0"/>
              <w:left w:val="single" w:color="auto" w:sz="4" w:space="0"/>
              <w:bottom w:val="single" w:color="auto" w:sz="4" w:space="0"/>
            </w:tcBorders>
          </w:tcPr>
          <w:p>
            <w:pPr>
              <w:spacing w:line="360" w:lineRule="auto"/>
              <w:jc w:val="center"/>
              <w:rPr>
                <w:sz w:val="18"/>
                <w:szCs w:val="18"/>
              </w:rPr>
            </w:pPr>
          </w:p>
        </w:tc>
        <w:tc>
          <w:tcPr>
            <w:tcW w:w="2194" w:type="dxa"/>
            <w:tcBorders>
              <w:top w:val="single" w:color="auto" w:sz="4" w:space="0"/>
              <w:left w:val="single" w:color="auto" w:sz="4" w:space="0"/>
              <w:bottom w:val="single" w:color="auto" w:sz="4" w:space="0"/>
              <w:right w:val="single" w:color="auto" w:sz="4" w:space="0"/>
            </w:tcBorders>
          </w:tcPr>
          <w:p>
            <w:pPr>
              <w:spacing w:line="360" w:lineRule="auto"/>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tcPr>
          <w:p>
            <w:pPr>
              <w:spacing w:line="360" w:lineRule="auto"/>
              <w:jc w:val="center"/>
              <w:rPr>
                <w:sz w:val="18"/>
                <w:szCs w:val="18"/>
              </w:rPr>
            </w:pPr>
          </w:p>
        </w:tc>
        <w:tc>
          <w:tcPr>
            <w:tcW w:w="1425" w:type="dxa"/>
            <w:tcBorders>
              <w:top w:val="single" w:color="auto" w:sz="4" w:space="0"/>
              <w:left w:val="single" w:color="auto" w:sz="4" w:space="0"/>
              <w:bottom w:val="single" w:color="auto" w:sz="4" w:space="0"/>
              <w:right w:val="single" w:color="auto" w:sz="4" w:space="0"/>
            </w:tcBorders>
          </w:tcPr>
          <w:p>
            <w:pPr>
              <w:spacing w:line="360" w:lineRule="auto"/>
              <w:jc w:val="center"/>
              <w:rPr>
                <w:sz w:val="18"/>
                <w:szCs w:val="18"/>
              </w:rPr>
            </w:pPr>
          </w:p>
        </w:tc>
        <w:tc>
          <w:tcPr>
            <w:tcW w:w="1238" w:type="dxa"/>
            <w:tcBorders>
              <w:top w:val="single" w:color="auto" w:sz="4" w:space="0"/>
              <w:left w:val="single" w:color="auto" w:sz="4" w:space="0"/>
              <w:bottom w:val="single" w:color="auto" w:sz="4" w:space="0"/>
              <w:right w:val="single" w:color="auto" w:sz="4" w:space="0"/>
            </w:tcBorders>
          </w:tcPr>
          <w:p>
            <w:pPr>
              <w:spacing w:line="360" w:lineRule="auto"/>
              <w:jc w:val="center"/>
              <w:rPr>
                <w:sz w:val="18"/>
                <w:szCs w:val="18"/>
              </w:rPr>
            </w:pPr>
          </w:p>
        </w:tc>
      </w:tr>
    </w:tbl>
    <w:p>
      <w:pPr>
        <w:numPr>
          <w:ilvl w:val="0"/>
          <w:numId w:val="6"/>
        </w:numPr>
        <w:spacing w:line="360" w:lineRule="auto"/>
        <w:ind w:left="-2" w:leftChars="-1" w:firstLine="420" w:firstLineChars="200"/>
        <w:rPr>
          <w:rFonts w:ascii="宋体" w:hAnsi="宋体"/>
          <w:color w:val="000000"/>
          <w:kern w:val="0"/>
        </w:rPr>
      </w:pPr>
      <w:r>
        <w:rPr>
          <w:rFonts w:hint="eastAsia" w:ascii="宋体" w:hAnsi="宋体"/>
          <w:color w:val="000000"/>
          <w:kern w:val="0"/>
        </w:rPr>
        <w:t>投标人提供详细的实施方案，实施方案中要明确实施步骤及每步骤的工作量、工作内容、交付成果，</w:t>
      </w:r>
      <w:r>
        <w:rPr>
          <w:rFonts w:ascii="宋体" w:hAnsi="宋体"/>
          <w:color w:val="000000"/>
          <w:kern w:val="0"/>
        </w:rPr>
        <w:t>检验方法</w:t>
      </w:r>
      <w:r>
        <w:rPr>
          <w:rFonts w:hint="eastAsia" w:ascii="宋体" w:hAnsi="宋体"/>
          <w:color w:val="000000"/>
          <w:kern w:val="0"/>
        </w:rPr>
        <w:t>。</w:t>
      </w:r>
    </w:p>
    <w:p>
      <w:pPr>
        <w:numPr>
          <w:ilvl w:val="0"/>
          <w:numId w:val="6"/>
        </w:numPr>
        <w:spacing w:line="360" w:lineRule="auto"/>
        <w:rPr>
          <w:rFonts w:ascii="宋体" w:hAnsi="宋体"/>
          <w:color w:val="000000"/>
          <w:kern w:val="0"/>
        </w:rPr>
      </w:pPr>
      <w:r>
        <w:rPr>
          <w:rFonts w:hint="eastAsia" w:ascii="宋体" w:hAnsi="宋体"/>
          <w:color w:val="000000"/>
          <w:kern w:val="0"/>
        </w:rPr>
        <w:t>在试运行阶段，承建单位应进行全程跟踪，提供全面技术支持服务，确保试运行的顺利进行，达到检验系统、完善系统的目的。</w:t>
      </w:r>
    </w:p>
    <w:p>
      <w:pPr>
        <w:numPr>
          <w:ilvl w:val="0"/>
          <w:numId w:val="6"/>
        </w:numPr>
        <w:spacing w:line="360" w:lineRule="auto"/>
        <w:rPr>
          <w:rFonts w:ascii="宋体" w:hAnsi="宋体"/>
          <w:color w:val="000000"/>
          <w:kern w:val="0"/>
        </w:rPr>
      </w:pPr>
      <w:r>
        <w:rPr>
          <w:rFonts w:hint="eastAsia" w:ascii="宋体" w:hAnsi="宋体"/>
          <w:color w:val="000000"/>
          <w:kern w:val="0"/>
        </w:rPr>
        <w:t>要求投标人在方案中列出服务期内的免费服务项目以及收费项目和收费标准。</w:t>
      </w:r>
    </w:p>
    <w:p>
      <w:pPr>
        <w:numPr>
          <w:ilvl w:val="0"/>
          <w:numId w:val="6"/>
        </w:numPr>
        <w:spacing w:line="360" w:lineRule="auto"/>
        <w:rPr>
          <w:rFonts w:ascii="宋体" w:hAnsi="宋体"/>
          <w:color w:val="000000"/>
          <w:kern w:val="0"/>
        </w:rPr>
      </w:pPr>
      <w:r>
        <w:rPr>
          <w:rFonts w:hint="eastAsia" w:ascii="宋体" w:hAnsi="宋体"/>
          <w:color w:val="000000"/>
          <w:kern w:val="0"/>
        </w:rPr>
        <w:t>项目验收以完成既定的项目任务及交付成果/文档为标准。</w:t>
      </w:r>
    </w:p>
    <w:p>
      <w:pPr>
        <w:spacing w:line="360" w:lineRule="auto"/>
        <w:outlineLvl w:val="1"/>
        <w:rPr>
          <w:b/>
          <w:szCs w:val="21"/>
        </w:rPr>
      </w:pPr>
      <w:r>
        <w:rPr>
          <w:b/>
          <w:szCs w:val="21"/>
        </w:rPr>
        <w:t>2</w:t>
      </w:r>
      <w:r>
        <w:rPr>
          <w:rFonts w:hint="eastAsia"/>
          <w:b/>
          <w:szCs w:val="21"/>
        </w:rPr>
        <w:t>、项目实施方案</w:t>
      </w:r>
    </w:p>
    <w:p>
      <w:pPr>
        <w:spacing w:line="360" w:lineRule="auto"/>
        <w:ind w:firstLine="420" w:firstLineChars="200"/>
        <w:rPr>
          <w:rFonts w:ascii="宋体" w:hAnsi="宋体"/>
          <w:szCs w:val="21"/>
        </w:rPr>
      </w:pPr>
      <w:r>
        <w:rPr>
          <w:rFonts w:hint="eastAsia" w:ascii="宋体" w:hAnsi="宋体"/>
          <w:szCs w:val="21"/>
        </w:rPr>
        <w:t>根据投标人的技术方案，提供项目人员安排、实施计划、实施步骤、测试计划和培训计划，保证项目顺利完成。</w:t>
      </w:r>
    </w:p>
    <w:p>
      <w:pPr>
        <w:numPr>
          <w:ilvl w:val="0"/>
          <w:numId w:val="6"/>
        </w:numPr>
        <w:spacing w:line="360" w:lineRule="auto"/>
        <w:rPr>
          <w:rFonts w:ascii="宋体" w:hAnsi="宋体"/>
          <w:kern w:val="0"/>
        </w:rPr>
      </w:pPr>
      <w:r>
        <w:rPr>
          <w:rFonts w:hint="eastAsia" w:ascii="宋体" w:hAnsi="宋体"/>
          <w:kern w:val="0"/>
        </w:rPr>
        <w:t>实施方案</w:t>
      </w:r>
    </w:p>
    <w:p>
      <w:pPr>
        <w:spacing w:line="360" w:lineRule="auto"/>
        <w:ind w:firstLine="420" w:firstLineChars="200"/>
        <w:rPr>
          <w:rFonts w:ascii="宋体" w:hAnsi="宋体"/>
          <w:szCs w:val="21"/>
        </w:rPr>
      </w:pPr>
      <w:r>
        <w:rPr>
          <w:rFonts w:hint="eastAsia" w:ascii="宋体" w:hAnsi="宋体"/>
          <w:szCs w:val="21"/>
        </w:rPr>
        <w:t>请投标人根据以上时间要求，提出具体到货、安装、调试、运行等工程进度表和分工界面。包括：</w:t>
      </w:r>
    </w:p>
    <w:p>
      <w:pPr>
        <w:numPr>
          <w:ilvl w:val="0"/>
          <w:numId w:val="7"/>
        </w:numPr>
        <w:spacing w:line="360" w:lineRule="auto"/>
        <w:ind w:left="0" w:firstLine="420" w:firstLineChars="200"/>
        <w:rPr>
          <w:rFonts w:ascii="宋体" w:hAnsi="宋体" w:cs="宋体"/>
          <w:color w:val="000000"/>
          <w:kern w:val="0"/>
          <w:szCs w:val="21"/>
        </w:rPr>
      </w:pPr>
      <w:r>
        <w:rPr>
          <w:rFonts w:hint="eastAsia" w:ascii="宋体" w:hAnsi="宋体" w:cs="宋体"/>
          <w:color w:val="000000"/>
          <w:kern w:val="0"/>
          <w:szCs w:val="21"/>
        </w:rPr>
        <w:t>需求调研、方案规划、设备上架、系统配置、系统测试、系统培训等，对应主要阶段性成果；</w:t>
      </w:r>
    </w:p>
    <w:p>
      <w:pPr>
        <w:numPr>
          <w:ilvl w:val="0"/>
          <w:numId w:val="7"/>
        </w:numPr>
        <w:spacing w:line="360" w:lineRule="auto"/>
        <w:ind w:left="0" w:firstLine="420" w:firstLineChars="200"/>
        <w:rPr>
          <w:rFonts w:ascii="宋体" w:hAnsi="宋体" w:cs="宋体"/>
          <w:color w:val="000000"/>
          <w:kern w:val="0"/>
          <w:szCs w:val="21"/>
        </w:rPr>
      </w:pPr>
      <w:r>
        <w:rPr>
          <w:rFonts w:hint="eastAsia" w:ascii="宋体" w:hAnsi="宋体" w:cs="宋体"/>
          <w:color w:val="000000"/>
          <w:kern w:val="0"/>
          <w:szCs w:val="21"/>
        </w:rPr>
        <w:t>实际项目组人员配备数量和素质，列出具体名单和投入时间段；</w:t>
      </w:r>
    </w:p>
    <w:p>
      <w:pPr>
        <w:numPr>
          <w:ilvl w:val="0"/>
          <w:numId w:val="7"/>
        </w:numPr>
        <w:spacing w:line="360" w:lineRule="auto"/>
        <w:ind w:left="0" w:firstLine="420" w:firstLineChars="200"/>
        <w:rPr>
          <w:rFonts w:ascii="宋体" w:hAnsi="宋体" w:cs="宋体"/>
          <w:color w:val="000000"/>
          <w:kern w:val="0"/>
          <w:szCs w:val="21"/>
        </w:rPr>
      </w:pPr>
      <w:r>
        <w:rPr>
          <w:rFonts w:hint="eastAsia" w:ascii="宋体" w:hAnsi="宋体" w:cs="宋体"/>
          <w:color w:val="000000"/>
          <w:kern w:val="0"/>
          <w:szCs w:val="21"/>
        </w:rPr>
        <w:t>进度计划和进度把控方案、输出成果；</w:t>
      </w:r>
    </w:p>
    <w:p>
      <w:pPr>
        <w:numPr>
          <w:ilvl w:val="0"/>
          <w:numId w:val="7"/>
        </w:numPr>
        <w:spacing w:line="360" w:lineRule="auto"/>
        <w:ind w:left="0" w:firstLine="420" w:firstLineChars="200"/>
        <w:rPr>
          <w:rFonts w:ascii="宋体" w:hAnsi="宋体" w:cs="宋体"/>
          <w:color w:val="000000"/>
          <w:kern w:val="0"/>
          <w:szCs w:val="21"/>
        </w:rPr>
      </w:pPr>
      <w:r>
        <w:rPr>
          <w:rFonts w:hint="eastAsia" w:ascii="宋体" w:hAnsi="宋体" w:cs="宋体"/>
          <w:color w:val="000000"/>
          <w:kern w:val="0"/>
          <w:szCs w:val="21"/>
        </w:rPr>
        <w:t>主要工作量评估、风险点及风险控制方法；</w:t>
      </w:r>
    </w:p>
    <w:p>
      <w:pPr>
        <w:numPr>
          <w:ilvl w:val="0"/>
          <w:numId w:val="7"/>
        </w:numPr>
        <w:spacing w:line="360" w:lineRule="auto"/>
        <w:ind w:left="0" w:firstLine="420" w:firstLineChars="200"/>
      </w:pPr>
      <w:r>
        <w:rPr>
          <w:rFonts w:hint="eastAsia" w:ascii="宋体" w:hAnsi="宋体" w:cs="宋体"/>
          <w:color w:val="000000"/>
          <w:kern w:val="0"/>
          <w:szCs w:val="21"/>
        </w:rPr>
        <w:t>对招标人日常生产活动如日常维护监控等工作量的影响情况等。</w:t>
      </w:r>
    </w:p>
    <w:p>
      <w:pPr>
        <w:spacing w:line="360" w:lineRule="auto"/>
        <w:outlineLvl w:val="1"/>
        <w:rPr>
          <w:b/>
          <w:szCs w:val="21"/>
        </w:rPr>
      </w:pPr>
      <w:r>
        <w:rPr>
          <w:b/>
          <w:szCs w:val="21"/>
        </w:rPr>
        <w:t>3</w:t>
      </w:r>
      <w:r>
        <w:rPr>
          <w:rFonts w:hint="eastAsia"/>
          <w:b/>
          <w:szCs w:val="21"/>
        </w:rPr>
        <w:t>、技术培训</w:t>
      </w:r>
    </w:p>
    <w:p>
      <w:pPr>
        <w:numPr>
          <w:ilvl w:val="0"/>
          <w:numId w:val="6"/>
        </w:numPr>
        <w:spacing w:line="360" w:lineRule="auto"/>
        <w:rPr>
          <w:rFonts w:ascii="宋体" w:hAnsi="宋体"/>
          <w:kern w:val="0"/>
        </w:rPr>
      </w:pPr>
      <w:r>
        <w:rPr>
          <w:rFonts w:hint="eastAsia" w:ascii="宋体" w:hAnsi="宋体"/>
          <w:kern w:val="0"/>
        </w:rPr>
        <w:t>投标人应负责招标人技术人员和管理专家的技术培训,培训讲师、</w:t>
      </w:r>
      <w:r>
        <w:rPr>
          <w:rFonts w:ascii="宋体" w:hAnsi="宋体"/>
          <w:kern w:val="0"/>
        </w:rPr>
        <w:t>课程和内容须由</w:t>
      </w:r>
      <w:r>
        <w:rPr>
          <w:rFonts w:hint="eastAsia" w:ascii="宋体" w:hAnsi="宋体"/>
          <w:kern w:val="0"/>
        </w:rPr>
        <w:t>制造商</w:t>
      </w:r>
      <w:r>
        <w:rPr>
          <w:rFonts w:ascii="宋体" w:hAnsi="宋体"/>
          <w:kern w:val="0"/>
        </w:rPr>
        <w:t>直接提供，</w:t>
      </w:r>
      <w:r>
        <w:rPr>
          <w:rFonts w:hint="eastAsia" w:ascii="宋体" w:hAnsi="宋体"/>
          <w:kern w:val="0"/>
        </w:rPr>
        <w:t>关于培训做以下说明：</w:t>
      </w:r>
    </w:p>
    <w:p>
      <w:pPr>
        <w:pStyle w:val="89"/>
        <w:numPr>
          <w:ilvl w:val="0"/>
          <w:numId w:val="8"/>
        </w:numPr>
        <w:spacing w:line="360" w:lineRule="auto"/>
        <w:ind w:firstLineChars="0"/>
        <w:rPr>
          <w:rFonts w:ascii="宋体" w:hAnsi="宋体"/>
        </w:rPr>
      </w:pPr>
      <w:r>
        <w:rPr>
          <w:rFonts w:ascii="宋体" w:hAnsi="宋体"/>
        </w:rPr>
        <w:t>投标人应提供预培训的详细计划（包括人数、时间、课程等）及培训所需的教材和教师讲解和说明。教材和讲解说明要求用中文（或其他经双方商定的文字）编写。</w:t>
      </w:r>
    </w:p>
    <w:p>
      <w:pPr>
        <w:pStyle w:val="89"/>
        <w:numPr>
          <w:ilvl w:val="0"/>
          <w:numId w:val="8"/>
        </w:numPr>
        <w:spacing w:line="360" w:lineRule="auto"/>
        <w:ind w:firstLineChars="0"/>
        <w:rPr>
          <w:rFonts w:ascii="宋体" w:hAnsi="宋体"/>
        </w:rPr>
      </w:pPr>
      <w:r>
        <w:rPr>
          <w:rFonts w:ascii="宋体" w:hAnsi="宋体"/>
        </w:rPr>
        <w:t>为使维护人员能独立进行设备及软件的安装、测试、运营、维护以及元部件的修理等。要求投标人负责对维护人员进行现场培训。现场培训可在安装调测阶段及移交后进行。</w:t>
      </w:r>
    </w:p>
    <w:p>
      <w:pPr>
        <w:numPr>
          <w:ilvl w:val="0"/>
          <w:numId w:val="6"/>
        </w:numPr>
        <w:spacing w:line="360" w:lineRule="auto"/>
        <w:rPr>
          <w:rFonts w:ascii="宋体" w:hAnsi="宋体"/>
          <w:kern w:val="0"/>
        </w:rPr>
      </w:pPr>
      <w:r>
        <w:rPr>
          <w:rFonts w:hint="eastAsia" w:ascii="宋体" w:hAnsi="宋体"/>
          <w:kern w:val="0"/>
        </w:rPr>
        <w:t>培训教材、设备，投标人应提供全套培训教材。培训使用教材应包括相关的安装测试和维护技术。操作维护培训和高级培训应包括所提供操作维护方法、安装调测、排除故障等各个方面。</w:t>
      </w:r>
    </w:p>
    <w:p>
      <w:pPr>
        <w:numPr>
          <w:ilvl w:val="0"/>
          <w:numId w:val="6"/>
        </w:numPr>
        <w:spacing w:line="360" w:lineRule="auto"/>
        <w:rPr>
          <w:rFonts w:ascii="宋体" w:hAnsi="宋体"/>
          <w:kern w:val="0"/>
        </w:rPr>
      </w:pPr>
      <w:r>
        <w:rPr>
          <w:rFonts w:hint="eastAsia" w:ascii="宋体" w:hAnsi="宋体"/>
          <w:kern w:val="0"/>
        </w:rPr>
        <w:t>投标人应该保证招标人技术人员接受培训后能熟练掌握系统的使用和维护。</w:t>
      </w:r>
    </w:p>
    <w:p>
      <w:pPr>
        <w:numPr>
          <w:ilvl w:val="0"/>
          <w:numId w:val="6"/>
        </w:numPr>
        <w:spacing w:line="360" w:lineRule="auto"/>
        <w:rPr>
          <w:rFonts w:ascii="宋体" w:hAnsi="宋体"/>
          <w:kern w:val="0"/>
        </w:rPr>
      </w:pPr>
      <w:r>
        <w:rPr>
          <w:rFonts w:hint="eastAsia" w:ascii="宋体" w:hAnsi="宋体"/>
          <w:kern w:val="0"/>
        </w:rPr>
        <w:t>投标人免费提供运维人员的相关技能、使用及维护等培训。</w:t>
      </w:r>
    </w:p>
    <w:p>
      <w:pPr>
        <w:numPr>
          <w:ilvl w:val="0"/>
          <w:numId w:val="6"/>
        </w:numPr>
        <w:spacing w:line="360" w:lineRule="auto"/>
        <w:rPr>
          <w:rFonts w:ascii="宋体" w:hAnsi="宋体"/>
          <w:kern w:val="0"/>
        </w:rPr>
      </w:pPr>
      <w:r>
        <w:rPr>
          <w:rFonts w:hint="eastAsia" w:ascii="宋体" w:hAnsi="宋体"/>
          <w:kern w:val="0"/>
        </w:rPr>
        <w:t>投标人承担培训任务的师资具有相当的理论实践水平和实际工作经验。</w:t>
      </w:r>
    </w:p>
    <w:p>
      <w:pPr>
        <w:numPr>
          <w:ilvl w:val="0"/>
          <w:numId w:val="6"/>
        </w:numPr>
        <w:spacing w:line="360" w:lineRule="auto"/>
        <w:rPr>
          <w:rFonts w:ascii="宋体" w:hAnsi="宋体"/>
          <w:kern w:val="0"/>
        </w:rPr>
      </w:pPr>
      <w:r>
        <w:rPr>
          <w:rFonts w:hint="eastAsia" w:ascii="宋体" w:hAnsi="宋体"/>
          <w:kern w:val="0"/>
        </w:rPr>
        <w:t>投标人负责提供教材和实际的操作环境，保证培训的质量和效果。</w:t>
      </w:r>
    </w:p>
    <w:p>
      <w:pPr>
        <w:numPr>
          <w:ilvl w:val="0"/>
          <w:numId w:val="6"/>
        </w:numPr>
        <w:spacing w:line="360" w:lineRule="auto"/>
        <w:rPr>
          <w:rFonts w:ascii="宋体" w:hAnsi="宋体"/>
          <w:kern w:val="0"/>
        </w:rPr>
      </w:pPr>
      <w:r>
        <w:rPr>
          <w:rFonts w:hint="eastAsia" w:ascii="宋体" w:hAnsi="宋体"/>
          <w:kern w:val="0"/>
        </w:rPr>
        <w:t>通过培训，使招标人的技术人员能够达到能对系统独立进行管理、维护测试和故障处理等工作，以便系统能正常、安全地运行。</w:t>
      </w:r>
    </w:p>
    <w:p>
      <w:pPr>
        <w:spacing w:line="360" w:lineRule="auto"/>
        <w:outlineLvl w:val="1"/>
        <w:rPr>
          <w:b/>
          <w:szCs w:val="21"/>
        </w:rPr>
      </w:pPr>
      <w:r>
        <w:rPr>
          <w:b/>
          <w:szCs w:val="21"/>
        </w:rPr>
        <w:t>4</w:t>
      </w:r>
      <w:r>
        <w:rPr>
          <w:rFonts w:hint="eastAsia"/>
          <w:b/>
          <w:szCs w:val="21"/>
        </w:rPr>
        <w:t>、技术服务</w:t>
      </w:r>
    </w:p>
    <w:p>
      <w:pPr>
        <w:spacing w:line="360" w:lineRule="auto"/>
        <w:ind w:firstLine="420" w:firstLineChars="200"/>
        <w:rPr>
          <w:szCs w:val="21"/>
        </w:rPr>
      </w:pPr>
      <w:r>
        <w:rPr>
          <w:rFonts w:hint="eastAsia"/>
          <w:szCs w:val="21"/>
        </w:rPr>
        <w:t>详细</w:t>
      </w:r>
      <w:r>
        <w:rPr>
          <w:szCs w:val="21"/>
        </w:rPr>
        <w:t>描述</w:t>
      </w:r>
      <w:r>
        <w:rPr>
          <w:rFonts w:hint="eastAsia"/>
          <w:szCs w:val="21"/>
        </w:rPr>
        <w:t>针对本项目</w:t>
      </w:r>
      <w:r>
        <w:rPr>
          <w:szCs w:val="21"/>
        </w:rPr>
        <w:t>的</w:t>
      </w:r>
      <w:r>
        <w:rPr>
          <w:rFonts w:hint="eastAsia"/>
          <w:szCs w:val="21"/>
        </w:rPr>
        <w:t>运维</w:t>
      </w:r>
      <w:r>
        <w:rPr>
          <w:szCs w:val="21"/>
        </w:rPr>
        <w:t>服务</w:t>
      </w:r>
      <w:r>
        <w:rPr>
          <w:rFonts w:hint="eastAsia"/>
          <w:szCs w:val="21"/>
        </w:rPr>
        <w:t>渠道</w:t>
      </w:r>
      <w:r>
        <w:rPr>
          <w:szCs w:val="21"/>
        </w:rPr>
        <w:t>、</w:t>
      </w:r>
      <w:r>
        <w:rPr>
          <w:rFonts w:hint="eastAsia"/>
          <w:szCs w:val="21"/>
        </w:rPr>
        <w:t>运维</w:t>
      </w:r>
      <w:r>
        <w:rPr>
          <w:szCs w:val="21"/>
        </w:rPr>
        <w:t>服务</w:t>
      </w:r>
      <w:r>
        <w:rPr>
          <w:rFonts w:hint="eastAsia"/>
          <w:szCs w:val="21"/>
        </w:rPr>
        <w:t>内容</w:t>
      </w:r>
      <w:r>
        <w:rPr>
          <w:szCs w:val="21"/>
        </w:rPr>
        <w:t>和</w:t>
      </w:r>
      <w:r>
        <w:rPr>
          <w:rFonts w:hint="eastAsia"/>
          <w:szCs w:val="21"/>
        </w:rPr>
        <w:t>各级</w:t>
      </w:r>
      <w:r>
        <w:rPr>
          <w:szCs w:val="21"/>
        </w:rPr>
        <w:t>故障</w:t>
      </w:r>
      <w:r>
        <w:rPr>
          <w:rFonts w:hint="eastAsia"/>
          <w:szCs w:val="21"/>
        </w:rPr>
        <w:t>的</w:t>
      </w:r>
      <w:r>
        <w:rPr>
          <w:szCs w:val="21"/>
        </w:rPr>
        <w:t>RTO和RPO</w:t>
      </w:r>
      <w:r>
        <w:rPr>
          <w:rFonts w:hint="eastAsia"/>
          <w:szCs w:val="21"/>
        </w:rPr>
        <w:t>指标标准</w:t>
      </w:r>
      <w:r>
        <w:rPr>
          <w:szCs w:val="21"/>
        </w:rPr>
        <w:t>。</w:t>
      </w:r>
    </w:p>
    <w:p>
      <w:pPr>
        <w:numPr>
          <w:ilvl w:val="0"/>
          <w:numId w:val="6"/>
        </w:numPr>
        <w:spacing w:line="360" w:lineRule="auto"/>
        <w:rPr>
          <w:rFonts w:ascii="宋体" w:hAnsi="宋体"/>
          <w:color w:val="000000"/>
          <w:kern w:val="0"/>
        </w:rPr>
      </w:pPr>
      <w:r>
        <w:rPr>
          <w:rFonts w:hint="eastAsia" w:ascii="宋体" w:hAnsi="宋体"/>
          <w:color w:val="000000"/>
          <w:kern w:val="0"/>
        </w:rPr>
        <w:t xml:space="preserve"> “服务”系指投标人须免费承担的安装、指导、调试、技术协助、培训以及其他类似的义务。服务又具体包括如下几种：</w:t>
      </w:r>
    </w:p>
    <w:p>
      <w:pPr>
        <w:pStyle w:val="89"/>
        <w:numPr>
          <w:ilvl w:val="0"/>
          <w:numId w:val="9"/>
        </w:numPr>
        <w:spacing w:line="360" w:lineRule="auto"/>
        <w:ind w:firstLineChars="0"/>
        <w:rPr>
          <w:rFonts w:ascii="宋体" w:hAnsi="宋体"/>
        </w:rPr>
      </w:pPr>
      <w:r>
        <w:rPr>
          <w:rFonts w:ascii="宋体" w:hAnsi="宋体"/>
        </w:rPr>
        <w:t>“电话支持服务”系指投标人将为招标人提供响应电话。当招标人遇到产品使用故障后,可直接拨打投标人提供的响应电话，并提供合同号，招标方产品所在地，故障现象及产品序列号等信息以要求投标人提供免费服务。响应人员在接到招标方电话后会指派工程师向招标人提供电话诊断及现场服务。工程师将通过电话诊断故障及解决问题。如果招标产品故障无法通过电话解决，工程师将到招标方产品现场提供现场支持服务。</w:t>
      </w:r>
    </w:p>
    <w:p>
      <w:pPr>
        <w:pStyle w:val="89"/>
        <w:numPr>
          <w:ilvl w:val="0"/>
          <w:numId w:val="9"/>
        </w:numPr>
        <w:spacing w:line="360" w:lineRule="auto"/>
        <w:ind w:firstLineChars="0"/>
        <w:rPr>
          <w:rFonts w:ascii="宋体" w:hAnsi="宋体"/>
        </w:rPr>
      </w:pPr>
      <w:r>
        <w:rPr>
          <w:rFonts w:ascii="宋体" w:hAnsi="宋体"/>
        </w:rPr>
        <w:t>“现场支持服务”系指如果招标人的招标产品故障无法通过电话解决，投标人云服务商工程师将于1小时内到达云服务产品现场进行故障排查。</w:t>
      </w:r>
    </w:p>
    <w:p>
      <w:pPr>
        <w:pStyle w:val="89"/>
        <w:numPr>
          <w:ilvl w:val="0"/>
          <w:numId w:val="9"/>
        </w:numPr>
        <w:spacing w:line="360" w:lineRule="auto"/>
        <w:ind w:firstLineChars="0"/>
        <w:rPr>
          <w:rFonts w:ascii="宋体" w:hAnsi="宋体"/>
        </w:rPr>
      </w:pPr>
      <w:r>
        <w:rPr>
          <w:rFonts w:ascii="宋体" w:hAnsi="宋体"/>
        </w:rPr>
        <w:t>“主动预防性服务”系指投标人之云服务商特定服务工程师将定期电话联络招标人项目负责人，了解招标产品使用状况，进行问题咨询，并对招标人招标产品提供定期的主动预防性维护。预防性维护服务包括系统健康检查，合同服务期内的软件系统免费升级。投标人将与招标人在定期维护服务时间上达成一致，制定合理的预防性维护服务计划。服务检测的时间应在不影响招标人产品使用的时间进行。任何调整必须事先与招标人协商。</w:t>
      </w:r>
    </w:p>
    <w:p>
      <w:pPr>
        <w:pStyle w:val="89"/>
        <w:numPr>
          <w:ilvl w:val="0"/>
          <w:numId w:val="9"/>
        </w:numPr>
        <w:spacing w:line="360" w:lineRule="auto"/>
        <w:ind w:firstLineChars="0"/>
        <w:rPr>
          <w:rFonts w:ascii="宋体" w:hAnsi="宋体"/>
        </w:rPr>
      </w:pPr>
      <w:r>
        <w:rPr>
          <w:rFonts w:ascii="宋体" w:hAnsi="宋体"/>
        </w:rPr>
        <w:t>电话支持服务：7×24小时服务；产品故障现场响应时间不得大于1小时。</w:t>
      </w:r>
    </w:p>
    <w:p>
      <w:pPr>
        <w:pStyle w:val="89"/>
        <w:numPr>
          <w:ilvl w:val="0"/>
          <w:numId w:val="9"/>
        </w:numPr>
        <w:spacing w:line="360" w:lineRule="auto"/>
        <w:ind w:firstLineChars="0"/>
        <w:rPr>
          <w:rFonts w:ascii="宋体" w:hAnsi="宋体"/>
        </w:rPr>
      </w:pPr>
      <w:r>
        <w:rPr>
          <w:rFonts w:ascii="宋体" w:hAnsi="宋体"/>
        </w:rPr>
        <w:t>现场支持服务：7×24小时现场服务；产品故障现场响应时间不得大于1小时。</w:t>
      </w:r>
    </w:p>
    <w:p>
      <w:pPr>
        <w:pStyle w:val="89"/>
        <w:numPr>
          <w:ilvl w:val="0"/>
          <w:numId w:val="9"/>
        </w:numPr>
        <w:spacing w:line="360" w:lineRule="auto"/>
        <w:ind w:firstLineChars="0"/>
        <w:rPr>
          <w:rFonts w:ascii="宋体" w:hAnsi="宋体"/>
        </w:rPr>
      </w:pPr>
      <w:r>
        <w:rPr>
          <w:rFonts w:ascii="宋体" w:hAnsi="宋体"/>
        </w:rPr>
        <w:t>主动预防性服务：服务期内，中标人必须提供每季度一次的巡检服务，在实施前提供相关详细实施方案。</w:t>
      </w:r>
    </w:p>
    <w:p>
      <w:pPr>
        <w:numPr>
          <w:ilvl w:val="0"/>
          <w:numId w:val="6"/>
        </w:numPr>
        <w:spacing w:line="360" w:lineRule="auto"/>
        <w:rPr>
          <w:rFonts w:ascii="宋体" w:hAnsi="宋体"/>
          <w:color w:val="000000"/>
          <w:kern w:val="0"/>
        </w:rPr>
      </w:pPr>
      <w:r>
        <w:rPr>
          <w:rFonts w:hint="eastAsia" w:ascii="宋体" w:hAnsi="宋体"/>
          <w:color w:val="000000"/>
          <w:kern w:val="0"/>
        </w:rPr>
        <w:t>维护规范的制定：项目投入正式使用前，投标人针对招标人技术人员制定日常技术巡检技术方案。</w:t>
      </w:r>
    </w:p>
    <w:p>
      <w:pPr>
        <w:numPr>
          <w:ilvl w:val="0"/>
          <w:numId w:val="6"/>
        </w:numPr>
        <w:spacing w:line="360" w:lineRule="auto"/>
        <w:rPr>
          <w:rFonts w:ascii="宋体" w:hAnsi="宋体"/>
          <w:color w:val="000000"/>
          <w:kern w:val="0"/>
        </w:rPr>
      </w:pPr>
      <w:r>
        <w:rPr>
          <w:rFonts w:hint="eastAsia" w:ascii="宋体" w:hAnsi="宋体"/>
          <w:color w:val="000000"/>
          <w:kern w:val="0"/>
        </w:rPr>
        <w:t>咨询服务，服务期内投标人为招标人提供免费IT咨询服务。</w:t>
      </w:r>
    </w:p>
    <w:p>
      <w:pPr>
        <w:numPr>
          <w:ilvl w:val="0"/>
          <w:numId w:val="6"/>
        </w:numPr>
        <w:spacing w:line="360" w:lineRule="auto"/>
        <w:rPr>
          <w:rFonts w:ascii="宋体" w:hAnsi="宋体"/>
          <w:color w:val="000000"/>
          <w:kern w:val="0"/>
        </w:rPr>
      </w:pPr>
      <w:r>
        <w:rPr>
          <w:rFonts w:hint="eastAsia" w:ascii="宋体" w:hAnsi="宋体"/>
          <w:color w:val="000000"/>
          <w:kern w:val="0"/>
        </w:rPr>
        <w:t>投标人应指定固定的制造商人员组成为服务团队，服务团队成员必须参加过本次集成项目并熟悉本系统环境，遇到工作任务冲突时，必须优先服务于投标人，服务团队成员必须稳定。</w:t>
      </w:r>
    </w:p>
    <w:p>
      <w:pPr>
        <w:spacing w:line="360" w:lineRule="auto"/>
        <w:ind w:firstLine="420" w:firstLineChars="200"/>
        <w:rPr>
          <w:rFonts w:eastAsia="PMingLiU"/>
          <w:lang w:val="zh-TW" w:eastAsia="zh-TW"/>
        </w:rPr>
      </w:pPr>
      <w:r>
        <w:rPr>
          <w:rFonts w:hint="eastAsia" w:ascii="宋体" w:hAnsi="宋体"/>
          <w:kern w:val="0"/>
        </w:rPr>
        <w:t>本</w:t>
      </w:r>
      <w:r>
        <w:rPr>
          <w:rFonts w:hint="eastAsia" w:ascii="宋体" w:hAnsi="宋体"/>
          <w:color w:val="000000"/>
          <w:kern w:val="0"/>
        </w:rPr>
        <w:t>服务期内，投标人应为招标人提供免费的软硬件同址搬迁类的服务支撑。</w:t>
      </w:r>
    </w:p>
    <w:p>
      <w:pPr>
        <w:numPr>
          <w:ilvl w:val="1"/>
          <w:numId w:val="0"/>
        </w:numPr>
        <w:spacing w:line="360" w:lineRule="auto"/>
        <w:ind w:firstLine="422" w:firstLineChars="200"/>
        <w:outlineLvl w:val="1"/>
        <w:rPr>
          <w:b/>
          <w:szCs w:val="21"/>
        </w:rPr>
      </w:pPr>
      <w:r>
        <w:rPr>
          <w:rFonts w:hint="eastAsia"/>
          <w:b/>
          <w:szCs w:val="21"/>
        </w:rPr>
        <w:t>★</w:t>
      </w:r>
      <w:r>
        <w:rPr>
          <w:b/>
          <w:szCs w:val="21"/>
        </w:rPr>
        <w:t>5</w:t>
      </w:r>
      <w:r>
        <w:rPr>
          <w:rFonts w:hint="eastAsia"/>
          <w:b/>
          <w:szCs w:val="21"/>
        </w:rPr>
        <w:t>、项目实施时间要求</w:t>
      </w:r>
    </w:p>
    <w:p>
      <w:pPr>
        <w:pStyle w:val="356"/>
        <w:numPr>
          <w:ilvl w:val="1"/>
          <w:numId w:val="0"/>
        </w:numPr>
        <w:spacing w:line="360" w:lineRule="auto"/>
        <w:ind w:firstLine="420" w:firstLineChars="200"/>
        <w:rPr>
          <w:rFonts w:hAnsi="宋体"/>
          <w:kern w:val="2"/>
          <w:sz w:val="21"/>
          <w:szCs w:val="21"/>
        </w:rPr>
      </w:pPr>
      <w:r>
        <w:rPr>
          <w:rFonts w:hint="eastAsia" w:hAnsi="宋体"/>
          <w:kern w:val="2"/>
          <w:sz w:val="21"/>
          <w:szCs w:val="21"/>
        </w:rPr>
        <w:t>本项目要求合同签订之日起30天内，供应商完成设备到货，并协助采购人</w:t>
      </w:r>
      <w:r>
        <w:rPr>
          <w:rFonts w:hint="eastAsia" w:hAnsi="宋体"/>
          <w:sz w:val="21"/>
          <w:szCs w:val="16"/>
        </w:rPr>
        <w:t>完成堡垒机部署调试</w:t>
      </w:r>
      <w:r>
        <w:rPr>
          <w:rFonts w:hint="eastAsia" w:hAnsi="宋体"/>
          <w:kern w:val="2"/>
          <w:sz w:val="21"/>
          <w:szCs w:val="21"/>
        </w:rPr>
        <w:t>。</w:t>
      </w:r>
    </w:p>
    <w:p>
      <w:pPr>
        <w:rPr>
          <w:rFonts w:ascii="宋体" w:hAnsi="宋体"/>
          <w:b/>
          <w:sz w:val="24"/>
        </w:rPr>
      </w:pPr>
      <w:r>
        <w:rPr>
          <w:rFonts w:hint="eastAsia" w:ascii="宋体" w:hAnsi="宋体"/>
          <w:b/>
          <w:sz w:val="24"/>
        </w:rPr>
        <w:br w:type="page"/>
      </w:r>
    </w:p>
    <w:p>
      <w:pPr>
        <w:pStyle w:val="2"/>
        <w:numPr>
          <w:ilvl w:val="0"/>
          <w:numId w:val="0"/>
        </w:numPr>
        <w:spacing w:line="360" w:lineRule="auto"/>
        <w:rPr>
          <w:b/>
          <w:sz w:val="36"/>
          <w:szCs w:val="36"/>
        </w:rPr>
      </w:pPr>
      <w:r>
        <w:rPr>
          <w:rFonts w:hint="eastAsia"/>
          <w:b/>
          <w:sz w:val="36"/>
          <w:szCs w:val="36"/>
        </w:rPr>
        <w:t>第六章 竞争性谈判响应文件格式</w:t>
      </w:r>
      <w:bookmarkEnd w:id="25"/>
    </w:p>
    <w:p/>
    <w:p/>
    <w:p/>
    <w:p/>
    <w:p/>
    <w:p/>
    <w:p/>
    <w:p>
      <w:pPr>
        <w:jc w:val="center"/>
        <w:rPr>
          <w:rFonts w:ascii="宋体" w:hAnsi="宋体"/>
          <w:sz w:val="44"/>
          <w:szCs w:val="44"/>
        </w:rPr>
      </w:pPr>
      <w:bookmarkStart w:id="27" w:name="_Toc26259736"/>
      <w:r>
        <w:rPr>
          <w:rFonts w:hint="eastAsia" w:ascii="宋体" w:hAnsi="宋体"/>
          <w:sz w:val="44"/>
          <w:szCs w:val="44"/>
        </w:rPr>
        <w:t>江苏省广电有线信息网络股份有限公司</w:t>
      </w:r>
    </w:p>
    <w:bookmarkEnd w:id="27"/>
    <w:p>
      <w:pPr>
        <w:spacing w:after="120" w:line="360" w:lineRule="auto"/>
        <w:jc w:val="center"/>
        <w:rPr>
          <w:rFonts w:ascii="宋体" w:hAnsi="宋体"/>
          <w:sz w:val="44"/>
          <w:szCs w:val="44"/>
        </w:rPr>
      </w:pPr>
      <w:r>
        <w:rPr>
          <w:rFonts w:hint="eastAsia" w:ascii="宋体" w:hAnsi="宋体"/>
          <w:sz w:val="44"/>
          <w:szCs w:val="44"/>
        </w:rPr>
        <w:t>5G敏感数据专用数据库配套堡垒机采购</w:t>
      </w:r>
    </w:p>
    <w:p/>
    <w:p>
      <w:pPr>
        <w:pStyle w:val="21"/>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1"/>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竞争性谈判响应文件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1"/>
        <w:adjustRightInd w:val="0"/>
        <w:snapToGrid w:val="0"/>
        <w:spacing w:before="312" w:beforeLines="100" w:after="312"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pPr>
        <w:pStyle w:val="3"/>
        <w:numPr>
          <w:ilvl w:val="0"/>
          <w:numId w:val="0"/>
        </w:numPr>
        <w:jc w:val="center"/>
      </w:pPr>
      <w:bookmarkStart w:id="28" w:name="_Toc26259737"/>
      <w:bookmarkStart w:id="29" w:name="_Toc69378658"/>
      <w:bookmarkStart w:id="30" w:name="_Toc529538374"/>
      <w:bookmarkStart w:id="31" w:name="_Toc26260030"/>
      <w:bookmarkStart w:id="32" w:name="_Toc472689687"/>
      <w:bookmarkStart w:id="33" w:name="_Toc447265603"/>
      <w:bookmarkStart w:id="34" w:name="_Toc438052118"/>
      <w:bookmarkStart w:id="35" w:name="_Toc447265317"/>
      <w:r>
        <w:rPr>
          <w:rFonts w:hint="eastAsia"/>
        </w:rPr>
        <w:t>评审索引表</w:t>
      </w:r>
      <w:bookmarkEnd w:id="28"/>
      <w:bookmarkEnd w:id="29"/>
      <w:bookmarkEnd w:id="30"/>
      <w:bookmarkEnd w:id="31"/>
      <w:bookmarkEnd w:id="32"/>
    </w:p>
    <w:p>
      <w:pPr>
        <w:spacing w:line="276" w:lineRule="auto"/>
        <w:rPr>
          <w:b/>
          <w:sz w:val="24"/>
        </w:rPr>
      </w:pPr>
      <w:r>
        <w:rPr>
          <w:rFonts w:hint="eastAsia"/>
          <w:b/>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pPr>
        <w:pStyle w:val="5"/>
        <w:rPr>
          <w:rFonts w:ascii="宋体" w:hAnsi="宋体" w:eastAsia="宋体"/>
          <w:b/>
          <w:sz w:val="24"/>
        </w:rPr>
      </w:pPr>
      <w:bookmarkStart w:id="36" w:name="_Toc401133270"/>
      <w:bookmarkStart w:id="37" w:name="_Toc429954241"/>
      <w:bookmarkStart w:id="38" w:name="_Toc427071030"/>
      <w:bookmarkStart w:id="39" w:name="_Toc529538375"/>
      <w:bookmarkStart w:id="40" w:name="_Toc26259738"/>
      <w:bookmarkStart w:id="41" w:name="_Toc401151285"/>
      <w:bookmarkStart w:id="42" w:name="_Toc485737092"/>
      <w:bookmarkStart w:id="43" w:name="_Toc26260031"/>
      <w:bookmarkStart w:id="44" w:name="_Toc401216443"/>
    </w:p>
    <w:p>
      <w:pPr>
        <w:pStyle w:val="4"/>
        <w:spacing w:before="260" w:after="260" w:line="416" w:lineRule="auto"/>
        <w:jc w:val="center"/>
        <w:rPr>
          <w:rFonts w:ascii="宋体" w:hAnsi="宋体" w:eastAsia="宋体"/>
          <w:b/>
          <w:bCs/>
          <w:sz w:val="22"/>
          <w:szCs w:val="28"/>
        </w:rPr>
      </w:pPr>
      <w:bookmarkStart w:id="45" w:name="_Toc69378659"/>
      <w:r>
        <w:rPr>
          <w:rFonts w:hint="eastAsia" w:ascii="宋体" w:hAnsi="宋体" w:eastAsia="宋体"/>
          <w:b/>
          <w:bCs/>
          <w:sz w:val="22"/>
          <w:szCs w:val="28"/>
        </w:rPr>
        <w:t>初步</w:t>
      </w:r>
      <w:r>
        <w:rPr>
          <w:rFonts w:ascii="宋体" w:hAnsi="宋体" w:eastAsia="宋体"/>
          <w:b/>
          <w:bCs/>
          <w:sz w:val="22"/>
          <w:szCs w:val="28"/>
        </w:rPr>
        <w:t>评审索引表</w:t>
      </w:r>
      <w:bookmarkEnd w:id="36"/>
      <w:bookmarkEnd w:id="37"/>
      <w:bookmarkEnd w:id="38"/>
      <w:bookmarkEnd w:id="39"/>
      <w:bookmarkEnd w:id="40"/>
      <w:bookmarkEnd w:id="41"/>
      <w:bookmarkEnd w:id="42"/>
      <w:bookmarkEnd w:id="43"/>
      <w:bookmarkEnd w:id="44"/>
      <w:bookmarkEnd w:id="45"/>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bl>
    <w:p/>
    <w:p>
      <w:pPr>
        <w:pStyle w:val="52"/>
        <w:ind w:firstLine="560"/>
      </w:pPr>
    </w:p>
    <w:p>
      <w:pPr>
        <w:pStyle w:val="52"/>
        <w:ind w:firstLine="560"/>
      </w:pPr>
    </w:p>
    <w:p>
      <w:pPr>
        <w:pStyle w:val="52"/>
        <w:ind w:firstLine="560"/>
      </w:pPr>
    </w:p>
    <w:p>
      <w:pPr>
        <w:pStyle w:val="4"/>
        <w:spacing w:before="260" w:after="260" w:line="416" w:lineRule="auto"/>
        <w:jc w:val="center"/>
        <w:rPr>
          <w:rFonts w:ascii="宋体" w:hAnsi="宋体" w:eastAsia="宋体"/>
          <w:b/>
          <w:bCs/>
          <w:sz w:val="22"/>
          <w:szCs w:val="28"/>
        </w:rPr>
      </w:pPr>
      <w:bookmarkStart w:id="46" w:name="_Toc26260032"/>
      <w:bookmarkStart w:id="47" w:name="_Toc26259739"/>
      <w:bookmarkStart w:id="48" w:name="_Toc69378660"/>
      <w:r>
        <w:rPr>
          <w:rFonts w:hint="eastAsia" w:ascii="宋体" w:hAnsi="宋体" w:eastAsia="宋体"/>
          <w:b/>
          <w:bCs/>
          <w:sz w:val="22"/>
          <w:szCs w:val="28"/>
        </w:rPr>
        <w:t>详细</w:t>
      </w:r>
      <w:r>
        <w:rPr>
          <w:rFonts w:ascii="宋体" w:hAnsi="宋体" w:eastAsia="宋体"/>
          <w:b/>
          <w:bCs/>
          <w:sz w:val="22"/>
          <w:szCs w:val="28"/>
        </w:rPr>
        <w:t>评审索引表</w:t>
      </w:r>
      <w:bookmarkEnd w:id="46"/>
      <w:bookmarkEnd w:id="47"/>
      <w:bookmarkEnd w:id="48"/>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6778" w:type="dxa"/>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highlight w:val="yellow"/>
              </w:rPr>
            </w:pPr>
          </w:p>
        </w:tc>
        <w:tc>
          <w:tcPr>
            <w:tcW w:w="6778" w:type="dxa"/>
          </w:tcPr>
          <w:p>
            <w:pPr>
              <w:widowControl/>
              <w:jc w:val="left"/>
              <w:rPr>
                <w:kern w:val="0"/>
                <w:szCs w:val="21"/>
                <w:highlight w:val="yellow"/>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widowControl/>
              <w:jc w:val="center"/>
              <w:rPr>
                <w:kern w:val="0"/>
                <w:szCs w:val="21"/>
              </w:rPr>
            </w:pPr>
            <w:r>
              <w:rPr>
                <w:rFonts w:hint="eastAsia"/>
                <w:kern w:val="0"/>
                <w:szCs w:val="21"/>
              </w:rPr>
              <w:t>5</w:t>
            </w:r>
          </w:p>
        </w:tc>
        <w:tc>
          <w:tcPr>
            <w:tcW w:w="1211" w:type="dxa"/>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kern w:val="0"/>
                <w:szCs w:val="21"/>
              </w:rPr>
            </w:pPr>
            <w:r>
              <w:rPr>
                <w:rFonts w:hint="eastAsia"/>
                <w:kern w:val="0"/>
                <w:szCs w:val="21"/>
              </w:rPr>
              <w:t>6</w:t>
            </w:r>
          </w:p>
        </w:tc>
        <w:tc>
          <w:tcPr>
            <w:tcW w:w="1211" w:type="dxa"/>
            <w:vAlign w:val="center"/>
          </w:tcPr>
          <w:p>
            <w:pPr>
              <w:jc w:val="center"/>
              <w:rPr>
                <w:kern w:val="0"/>
                <w:szCs w:val="21"/>
              </w:rPr>
            </w:pPr>
          </w:p>
        </w:tc>
        <w:tc>
          <w:tcPr>
            <w:tcW w:w="6778" w:type="dxa"/>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bl>
    <w:p>
      <w:pPr>
        <w:pStyle w:val="5"/>
      </w:pPr>
    </w:p>
    <w:bookmarkEnd w:id="33"/>
    <w:bookmarkEnd w:id="34"/>
    <w:bookmarkEnd w:id="35"/>
    <w:p/>
    <w:p>
      <w:p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pStyle w:val="3"/>
        <w:numPr>
          <w:ilvl w:val="0"/>
          <w:numId w:val="0"/>
        </w:numPr>
        <w:snapToGrid w:val="0"/>
        <w:spacing w:before="312" w:beforeLines="100" w:after="312" w:afterLines="100"/>
        <w:ind w:right="210" w:rightChars="100"/>
        <w:rPr>
          <w:rStyle w:val="106"/>
          <w:rFonts w:hAnsi="宋体"/>
          <w:b w:val="0"/>
          <w:bCs w:val="0"/>
          <w:sz w:val="24"/>
          <w:szCs w:val="24"/>
        </w:rPr>
      </w:pPr>
      <w:bookmarkStart w:id="49" w:name="_Toc135999006"/>
      <w:bookmarkStart w:id="50" w:name="_Toc161767428"/>
      <w:bookmarkStart w:id="51" w:name="_Toc69378663"/>
      <w:bookmarkStart w:id="52" w:name="_Toc26260033"/>
      <w:bookmarkStart w:id="53" w:name="_Toc472689688"/>
      <w:bookmarkStart w:id="54" w:name="_Toc438052120"/>
      <w:bookmarkStart w:id="55" w:name="_Toc529538377"/>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49"/>
      <w:bookmarkEnd w:id="50"/>
      <w:r>
        <w:rPr>
          <w:rStyle w:val="106"/>
          <w:rFonts w:hint="eastAsia" w:hAnsi="宋体"/>
          <w:b w:val="0"/>
          <w:bCs w:val="0"/>
          <w:sz w:val="24"/>
          <w:szCs w:val="24"/>
        </w:rPr>
        <w:t>响应函</w:t>
      </w:r>
      <w:bookmarkEnd w:id="51"/>
      <w:bookmarkEnd w:id="52"/>
    </w:p>
    <w:p>
      <w:pPr>
        <w:snapToGrid w:val="0"/>
        <w:spacing w:before="312" w:beforeLines="100" w:after="312"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[1]</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[1]</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（2）提供按竞争性谈判文件要求的产品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（3）供应商将按竞争性谈判文件的规定履行全部责任和义务。</w:t>
      </w:r>
    </w:p>
    <w:p>
      <w:pPr>
        <w:spacing w:line="360" w:lineRule="auto"/>
        <w:rPr>
          <w:rFonts w:ascii="宋体" w:hAnsi="宋体"/>
          <w:sz w:val="24"/>
        </w:rPr>
      </w:pPr>
      <w:r>
        <w:rPr>
          <w:rFonts w:hint="eastAsia" w:ascii="宋体" w:hAnsi="宋体"/>
          <w:sz w:val="24"/>
        </w:rPr>
        <w:t>（4）供应商已详细审查全部竞争性谈判文件，我们完全理解并同意放弃对竞争性谈判文件提出质疑及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（11）与本响应文件有关的一切往来通讯请寄：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rPr>
          <w:rFonts w:ascii="宋体" w:hAnsi="宋体"/>
          <w:sz w:val="24"/>
        </w:rPr>
      </w:pPr>
      <w:r>
        <w:rPr>
          <w:rFonts w:hint="eastAsia" w:ascii="宋体" w:hAnsi="宋体"/>
          <w:sz w:val="24"/>
        </w:rPr>
        <w:t>日期：</w:t>
      </w:r>
    </w:p>
    <w:p>
      <w:pPr>
        <w:rPr>
          <w:rFonts w:ascii="宋体" w:hAnsi="宋体"/>
          <w:sz w:val="24"/>
        </w:rPr>
      </w:pPr>
      <w:r>
        <w:rPr>
          <w:rFonts w:hint="eastAsia" w:ascii="宋体" w:hAnsi="宋体"/>
          <w:sz w:val="24"/>
        </w:rPr>
        <w:br w:type="page"/>
      </w:r>
    </w:p>
    <w:p>
      <w:pPr>
        <w:pStyle w:val="3"/>
        <w:numPr>
          <w:ilvl w:val="0"/>
          <w:numId w:val="0"/>
        </w:numPr>
        <w:snapToGrid w:val="0"/>
        <w:spacing w:before="0" w:after="0"/>
        <w:ind w:right="210" w:rightChars="100"/>
        <w:rPr>
          <w:rFonts w:ascii="黑体"/>
          <w:b/>
          <w:kern w:val="44"/>
          <w:sz w:val="32"/>
        </w:rPr>
      </w:pPr>
      <w:r>
        <w:rPr>
          <w:rStyle w:val="106"/>
          <w:rFonts w:hint="eastAsia" w:hAnsi="宋体"/>
          <w:b w:val="0"/>
          <w:bCs w:val="0"/>
          <w:sz w:val="24"/>
          <w:szCs w:val="24"/>
        </w:rPr>
        <w:t>附件2：法定代表人身份证明及授权委托书</w:t>
      </w:r>
    </w:p>
    <w:p>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（供应商名称）</w:t>
      </w:r>
      <w:r>
        <w:rPr>
          <w:rFonts w:hint="eastAsia" w:ascii="宋体" w:hAnsi="宋体" w:cs="宋体"/>
          <w:szCs w:val="21"/>
        </w:rPr>
        <w:t>的法定代表人，现委托</w:t>
      </w:r>
      <w:r>
        <w:rPr>
          <w:rFonts w:hint="eastAsia" w:ascii="宋体" w:hAnsi="宋体" w:cs="宋体"/>
          <w:szCs w:val="21"/>
          <w:u w:val="single"/>
        </w:rPr>
        <w:t xml:space="preserve"> （姓名）</w:t>
      </w:r>
      <w:r>
        <w:rPr>
          <w:rFonts w:hint="eastAsia" w:ascii="宋体" w:hAnsi="宋体" w:cs="宋体"/>
          <w:szCs w:val="21"/>
        </w:rPr>
        <w:t>为我方授权代表。授权代表根据授权，以我方名义全权处理</w:t>
      </w:r>
      <w:r>
        <w:rPr>
          <w:rFonts w:hint="eastAsia" w:ascii="宋体" w:hAnsi="宋体" w:cs="宋体"/>
          <w:color w:val="000000"/>
          <w:szCs w:val="21"/>
          <w:u w:val="single"/>
        </w:rPr>
        <w:t xml:space="preserve">            项目</w:t>
      </w:r>
      <w:r>
        <w:rPr>
          <w:rFonts w:hint="eastAsia" w:ascii="宋体" w:hAnsi="宋体" w:cs="宋体"/>
          <w:szCs w:val="21"/>
        </w:rPr>
        <w:t>（签署、澄清、说明、补正、递交、撤回、修改响应文件、参与谈判、签订合同和处理一切有关事宜），其法律后果由我方承担。</w:t>
      </w:r>
    </w:p>
    <w:p>
      <w:pPr>
        <w:spacing w:line="360" w:lineRule="auto"/>
        <w:ind w:firstLine="420" w:firstLineChars="200"/>
        <w:rPr>
          <w:rFonts w:ascii="宋体" w:hAnsi="宋体" w:cs="宋体"/>
          <w:szCs w:val="21"/>
        </w:rPr>
      </w:pPr>
      <w:r>
        <w:rPr>
          <w:rFonts w:hint="eastAsia" w:ascii="宋体" w:hAnsi="宋体" w:cs="宋体"/>
          <w:szCs w:val="21"/>
        </w:rPr>
        <w:t>委托期限：</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授权代表无转委托权。</w:t>
      </w:r>
    </w:p>
    <w:p>
      <w:pPr>
        <w:spacing w:line="360" w:lineRule="auto"/>
        <w:ind w:firstLine="420" w:firstLineChars="200"/>
        <w:rPr>
          <w:rFonts w:ascii="宋体" w:hAnsi="宋体" w:cs="宋体"/>
          <w:szCs w:val="21"/>
        </w:rPr>
      </w:pPr>
      <w:r>
        <w:rPr>
          <w:rFonts w:hint="eastAsia" w:ascii="宋体" w:hAnsi="宋体" w:cs="宋体"/>
          <w:szCs w:val="21"/>
        </w:rPr>
        <w:t>附：法定代表人和授权代表身份证复印件(需同时提供正面及背面)</w:t>
      </w:r>
    </w:p>
    <w:p>
      <w:pPr>
        <w:spacing w:line="360" w:lineRule="auto"/>
        <w:ind w:firstLine="420" w:firstLineChars="200"/>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121920</wp:posOffset>
                </wp:positionV>
                <wp:extent cx="3297555" cy="2113915"/>
                <wp:effectExtent l="4445" t="4445" r="12700" b="1524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5.35pt;margin-top:9.6pt;height:166.45pt;width:259.65pt;z-index:251660288;mso-width-relative:page;mso-height-relative:page;" fillcolor="#FFFFFF" filled="t" stroked="t" coordsize="21600,21600"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Ams0dkAAAALAQAADwAAAAAAAAABACAAAAAiAAAAZHJzL2Rvd25yZXYueG1sUEsBAhQAFAAA&#10;AAgAh07iQBaX0KJgAgAAoQQAAA4AAAAAAAAAAQAgAAAAKAEAAGRycy9lMm9Eb2MueG1sUEsFBgAA&#10;AAAGAAYAWQEAAPoFAAAAAA==&#10;">
                <v:fill on="t" focussize="0,0"/>
                <v:stroke color="#000000" miterlimit="8" joinstyle="miter"/>
                <v:imagedata o:title=""/>
                <o:lock v:ext="edit" aspectratio="f"/>
                <v:textbox>
                  <w:txbxContent>
                    <w:p>
                      <w:pPr>
                        <w:ind w:firstLine="420"/>
                        <w:jc w:val="center"/>
                        <w:rPr>
                          <w:szCs w:val="21"/>
                        </w:rPr>
                      </w:pPr>
                      <w:r>
                        <w:rPr>
                          <w:rFonts w:hint="eastAsia"/>
                          <w:szCs w:val="21"/>
                        </w:rPr>
                        <w:t>法定代表人身份证正面复印件</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109220</wp:posOffset>
                </wp:positionV>
                <wp:extent cx="3297555" cy="2113915"/>
                <wp:effectExtent l="4445" t="4445" r="12700" b="1524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4.8pt;margin-top:8.6pt;height:166.45pt;width:259.65pt;z-index:251659264;mso-width-relative:page;mso-height-relative:page;" fillcolor="#FFFFFF" filled="t" stroked="t" coordsize="21600,21600"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qzccl2AAAAAoBAAAPAAAAAAAAAAEAIAAAACIAAABkcnMvZG93bnJldi54bWxQSwECFAAUAAAA&#10;CACHTuJAZTuGpWACAAChBAAADgAAAAAAAAABACAAAAAnAQAAZHJzL2Uyb0RvYy54bWxQSwUGAAAA&#10;AAYABgBZAQAA+QUAAAAA&#10;">
                <v:fill on="t" focussize="0,0"/>
                <v:stroke color="#000000" miterlimit="8" joinstyle="miter"/>
                <v:imagedata o:title=""/>
                <o:lock v:ext="edit" aspectratio="f"/>
                <v:textbox>
                  <w:txbxContent>
                    <w:p>
                      <w:pPr>
                        <w:ind w:firstLine="420"/>
                        <w:jc w:val="center"/>
                        <w:rPr>
                          <w:szCs w:val="21"/>
                        </w:rPr>
                      </w:pPr>
                      <w:r>
                        <w:rPr>
                          <w:rFonts w:hint="eastAsia"/>
                          <w:szCs w:val="21"/>
                        </w:rPr>
                        <w:t>法定代表人身份证背面复印件</w:t>
                      </w:r>
                    </w:p>
                  </w:txbxContent>
                </v:textbox>
              </v:shape>
            </w:pict>
          </mc:Fallback>
        </mc:AlternateConten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2575560</wp:posOffset>
                </wp:positionH>
                <wp:positionV relativeFrom="paragraph">
                  <wp:posOffset>224790</wp:posOffset>
                </wp:positionV>
                <wp:extent cx="3297555" cy="2113915"/>
                <wp:effectExtent l="4445" t="4445" r="12700" b="1524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2.8pt;margin-top:17.7pt;height:166.45pt;width:259.65pt;z-index:251661312;mso-width-relative:page;mso-height-relative:page;" fillcolor="#FFFFFF" filled="t" stroked="t" coordsize="21600,21600" o:gfxdata="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5FE3L2AAAAAoBAAAPAAAAAAAAAAEAIAAAACIAAABkcnMvZG93bnJldi54bWxQSwECFAAUAAAA&#10;CACHTuJAVgdiWGACAAChBAAADgAAAAAAAAABACAAAAAnAQAAZHJzL2Uyb0RvYy54bWxQSwUGAAAA&#10;AAYABgBZAQAA+QUAAAAA&#10;">
                <v:fill on="t" focussize="0,0"/>
                <v:stroke color="#000000" miterlimit="8" joinstyle="miter"/>
                <v:imagedata o:title=""/>
                <o:lock v:ext="edit" aspectratio="f"/>
                <v:textbox>
                  <w:txbxContent>
                    <w:p>
                      <w:pPr>
                        <w:ind w:firstLine="420"/>
                        <w:jc w:val="center"/>
                        <w:rPr>
                          <w:szCs w:val="21"/>
                        </w:rPr>
                      </w:pPr>
                      <w:r>
                        <w:rPr>
                          <w:rFonts w:hint="eastAsia"/>
                          <w:szCs w:val="21"/>
                        </w:rPr>
                        <w:t>授权代表身份证背面复印件</w:t>
                      </w:r>
                    </w:p>
                  </w:txbxContent>
                </v:textbox>
              </v:shape>
            </w:pict>
          </mc:Fallback>
        </mc:AlternateContent>
      </w: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-728345</wp:posOffset>
                </wp:positionH>
                <wp:positionV relativeFrom="paragraph">
                  <wp:posOffset>250190</wp:posOffset>
                </wp:positionV>
                <wp:extent cx="3297555" cy="2113915"/>
                <wp:effectExtent l="4445" t="4445" r="12700" b="1524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7.35pt;margin-top:19.7pt;height:166.45pt;width:259.65pt;z-index:251662336;mso-width-relative:page;mso-height-relative:page;" fillcolor="#FFFFFF" filled="t" stroked="t" coordsize="21600,21600" o:gfxdata="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UqOm12gAAAAsBAAAPAAAAAAAAAAEAIAAAACIAAABkcnMvZG93bnJldi54bWxQSwECFAAUAAAA&#10;CACHTuJAg2Mrq14CAAChBAAADgAAAAAAAAABACAAAAApAQAAZHJzL2Uyb0RvYy54bWxQSwUGAAAA&#10;AAYABgBZAQAA+QUAAAAA&#10;">
                <v:fill on="t" focussize="0,0"/>
                <v:stroke color="#000000" miterlimit="8" joinstyle="miter"/>
                <v:imagedata o:title=""/>
                <o:lock v:ext="edit" aspectratio="f"/>
                <v:textbox>
                  <w:txbxContent>
                    <w:p>
                      <w:pPr>
                        <w:ind w:firstLine="420"/>
                        <w:jc w:val="center"/>
                        <w:rPr>
                          <w:szCs w:val="21"/>
                        </w:rPr>
                      </w:pPr>
                      <w:r>
                        <w:rPr>
                          <w:rFonts w:hint="eastAsia"/>
                          <w:szCs w:val="21"/>
                        </w:rPr>
                        <w:t>授权代表身份证正面复印件</w:t>
                      </w:r>
                    </w:p>
                  </w:txbxContent>
                </v:textbox>
              </v:shape>
            </w:pict>
          </mc:Fallback>
        </mc:AlternateConten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jc w:val="righ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pPr>
        <w:spacing w:line="360" w:lineRule="auto"/>
        <w:ind w:firstLine="420" w:firstLineChars="200"/>
        <w:jc w:val="righ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w:t>
      </w:r>
    </w:p>
    <w:p>
      <w:pPr>
        <w:spacing w:line="360" w:lineRule="auto"/>
        <w:ind w:right="420" w:firstLine="2940" w:firstLineChars="140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360" w:lineRule="auto"/>
        <w:ind w:right="105" w:firstLine="420" w:firstLineChars="200"/>
        <w:jc w:val="right"/>
        <w:rPr>
          <w:rFonts w:ascii="宋体" w:hAnsi="宋体" w:cs="宋体"/>
          <w:szCs w:val="21"/>
        </w:rPr>
      </w:pPr>
      <w:r>
        <w:rPr>
          <w:rFonts w:hint="eastAsia" w:ascii="宋体" w:hAnsi="宋体" w:cs="宋体"/>
          <w:szCs w:val="21"/>
        </w:rPr>
        <w:t xml:space="preserve">    委托授权代表：</w:t>
      </w:r>
      <w:r>
        <w:rPr>
          <w:rFonts w:hint="eastAsia" w:ascii="宋体" w:hAnsi="宋体" w:cs="宋体"/>
          <w:szCs w:val="21"/>
          <w:u w:val="single"/>
        </w:rPr>
        <w:t xml:space="preserve">                            </w:t>
      </w:r>
      <w:r>
        <w:rPr>
          <w:rFonts w:hint="eastAsia" w:ascii="宋体" w:hAnsi="宋体" w:cs="宋体"/>
          <w:szCs w:val="21"/>
        </w:rPr>
        <w:t>（签字）</w:t>
      </w:r>
    </w:p>
    <w:p>
      <w:pPr>
        <w:spacing w:line="360" w:lineRule="auto"/>
        <w:ind w:right="105" w:firstLine="2940" w:firstLineChars="140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360" w:lineRule="auto"/>
        <w:ind w:firstLine="2310" w:firstLineChars="110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2310" w:firstLineChars="1100"/>
        <w:jc w:val="right"/>
        <w:rPr>
          <w:rStyle w:val="106"/>
          <w:rFonts w:hAnsi="宋体"/>
          <w:b w:val="0"/>
          <w:sz w:val="24"/>
          <w:szCs w:val="24"/>
        </w:rPr>
      </w:pPr>
      <w:r>
        <w:br w:type="page"/>
      </w:r>
      <w:bookmarkStart w:id="56" w:name="_Toc69378664"/>
      <w:bookmarkStart w:id="57" w:name="_Toc26259740"/>
      <w:bookmarkStart w:id="58" w:name="_Toc26260034"/>
    </w:p>
    <w:p>
      <w:pPr>
        <w:pStyle w:val="3"/>
        <w:numPr>
          <w:ilvl w:val="0"/>
          <w:numId w:val="0"/>
        </w:numPr>
        <w:snapToGrid w:val="0"/>
        <w:spacing w:before="312" w:beforeLines="100" w:after="312" w:afterLines="100"/>
        <w:ind w:right="210" w:rightChars="100"/>
        <w:rPr>
          <w:rStyle w:val="80"/>
          <w:rFonts w:hAnsi="Times New Roman" w:eastAsia="宋体"/>
          <w:bCs w:val="0"/>
          <w:szCs w:val="24"/>
        </w:rPr>
      </w:pPr>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56"/>
      <w:bookmarkEnd w:id="57"/>
      <w:bookmarkEnd w:id="58"/>
    </w:p>
    <w:p>
      <w:pPr>
        <w:spacing w:line="360" w:lineRule="auto"/>
        <w:rPr>
          <w:sz w:val="24"/>
        </w:rPr>
      </w:pPr>
      <w:r>
        <w:rPr>
          <w:sz w:val="24"/>
        </w:rPr>
        <w:t>项目名称：</w:t>
      </w:r>
      <w:r>
        <w:rPr>
          <w:rFonts w:hint="eastAsia"/>
          <w:sz w:val="24"/>
        </w:rPr>
        <w:t>堡垒机设备采购</w:t>
      </w:r>
    </w:p>
    <w:tbl>
      <w:tblPr>
        <w:tblStyle w:val="53"/>
        <w:tblpPr w:leftFromText="180" w:rightFromText="180" w:vertAnchor="text" w:horzAnchor="page" w:tblpX="1432" w:tblpY="16"/>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079"/>
        <w:gridCol w:w="1089"/>
        <w:gridCol w:w="811"/>
        <w:gridCol w:w="1133"/>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1" w:type="dxa"/>
            <w:vAlign w:val="center"/>
          </w:tcPr>
          <w:p>
            <w:pPr>
              <w:jc w:val="center"/>
              <w:rPr>
                <w:rFonts w:ascii="宋体" w:hAnsi="宋体" w:cs="宋体"/>
                <w:b/>
                <w:szCs w:val="21"/>
              </w:rPr>
            </w:pPr>
            <w:r>
              <w:rPr>
                <w:rFonts w:hint="eastAsia" w:ascii="宋体" w:hAnsi="宋体" w:cs="宋体"/>
                <w:b/>
                <w:szCs w:val="21"/>
              </w:rPr>
              <w:t>设备名称</w:t>
            </w:r>
          </w:p>
        </w:tc>
        <w:tc>
          <w:tcPr>
            <w:tcW w:w="3079" w:type="dxa"/>
            <w:vAlign w:val="center"/>
          </w:tcPr>
          <w:p>
            <w:pPr>
              <w:jc w:val="center"/>
              <w:rPr>
                <w:rFonts w:ascii="宋体" w:hAnsi="宋体" w:cs="宋体"/>
                <w:b/>
                <w:szCs w:val="21"/>
              </w:rPr>
            </w:pPr>
            <w:r>
              <w:rPr>
                <w:rFonts w:hint="eastAsia" w:ascii="宋体" w:hAnsi="宋体" w:cs="宋体"/>
                <w:b/>
                <w:szCs w:val="21"/>
              </w:rPr>
              <w:t>规格型号/配置</w:t>
            </w:r>
          </w:p>
        </w:tc>
        <w:tc>
          <w:tcPr>
            <w:tcW w:w="1089" w:type="dxa"/>
            <w:vAlign w:val="center"/>
          </w:tcPr>
          <w:p>
            <w:pPr>
              <w:jc w:val="center"/>
              <w:rPr>
                <w:rFonts w:hint="eastAsia" w:ascii="宋体" w:hAnsi="宋体" w:cs="宋体"/>
                <w:b/>
                <w:szCs w:val="21"/>
              </w:rPr>
            </w:pPr>
            <w:r>
              <w:rPr>
                <w:rFonts w:hint="eastAsia" w:ascii="宋体" w:hAnsi="宋体" w:cs="宋体"/>
                <w:b/>
                <w:szCs w:val="21"/>
              </w:rPr>
              <w:t>含税</w:t>
            </w:r>
            <w:r>
              <w:rPr>
                <w:rFonts w:hint="eastAsia" w:ascii="宋体" w:hAnsi="宋体" w:cs="宋体"/>
                <w:b/>
                <w:szCs w:val="21"/>
                <w:lang w:val="en-US" w:eastAsia="zh-CN"/>
              </w:rPr>
              <w:t>单</w:t>
            </w:r>
            <w:r>
              <w:rPr>
                <w:rFonts w:hint="eastAsia" w:ascii="宋体" w:hAnsi="宋体" w:cs="宋体"/>
                <w:b/>
                <w:szCs w:val="21"/>
              </w:rPr>
              <w:t>价（元）</w:t>
            </w:r>
          </w:p>
        </w:tc>
        <w:tc>
          <w:tcPr>
            <w:tcW w:w="811" w:type="dxa"/>
            <w:vAlign w:val="center"/>
          </w:tcPr>
          <w:p>
            <w:pPr>
              <w:jc w:val="center"/>
              <w:rPr>
                <w:rFonts w:ascii="宋体" w:hAnsi="宋体" w:cs="宋体"/>
                <w:b/>
                <w:szCs w:val="21"/>
              </w:rPr>
            </w:pPr>
            <w:r>
              <w:rPr>
                <w:rFonts w:hint="eastAsia" w:ascii="宋体" w:hAnsi="宋体" w:cs="宋体"/>
                <w:b/>
                <w:szCs w:val="21"/>
              </w:rPr>
              <w:t>数量</w:t>
            </w:r>
          </w:p>
        </w:tc>
        <w:tc>
          <w:tcPr>
            <w:tcW w:w="1133" w:type="dxa"/>
            <w:vAlign w:val="center"/>
          </w:tcPr>
          <w:p>
            <w:pPr>
              <w:jc w:val="center"/>
              <w:rPr>
                <w:rFonts w:ascii="宋体" w:hAnsi="宋体" w:cs="宋体"/>
                <w:b/>
                <w:szCs w:val="21"/>
              </w:rPr>
            </w:pPr>
            <w:r>
              <w:rPr>
                <w:rFonts w:hint="eastAsia" w:ascii="宋体" w:hAnsi="宋体" w:cs="宋体"/>
                <w:b/>
                <w:szCs w:val="21"/>
              </w:rPr>
              <w:t>含税总价（元）</w:t>
            </w:r>
          </w:p>
        </w:tc>
        <w:tc>
          <w:tcPr>
            <w:tcW w:w="1113" w:type="dxa"/>
            <w:vAlign w:val="center"/>
          </w:tcPr>
          <w:p>
            <w:pPr>
              <w:jc w:val="center"/>
              <w:rPr>
                <w:rFonts w:ascii="宋体" w:hAnsi="宋体" w:cs="宋体"/>
                <w:b/>
                <w:szCs w:val="21"/>
              </w:rPr>
            </w:pPr>
            <w:r>
              <w:rPr>
                <w:rFonts w:hint="eastAsia" w:ascii="宋体" w:hAnsi="宋体" w:cs="宋体"/>
                <w:b/>
                <w:szCs w:val="21"/>
              </w:rPr>
              <w:t>增值税税率（%）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spacing w:before="120"/>
              <w:jc w:val="center"/>
              <w:rPr>
                <w:rFonts w:ascii="宋体" w:hAnsi="宋体" w:cs="宋体"/>
                <w:kern w:val="0"/>
                <w:sz w:val="21"/>
                <w:szCs w:val="21"/>
              </w:rPr>
            </w:pPr>
            <w:r>
              <w:rPr>
                <w:rFonts w:hint="eastAsia"/>
                <w:sz w:val="21"/>
                <w:szCs w:val="21"/>
              </w:rPr>
              <w:t>堡垒机</w:t>
            </w:r>
          </w:p>
        </w:tc>
        <w:tc>
          <w:tcPr>
            <w:tcW w:w="3079" w:type="dxa"/>
            <w:vAlign w:val="center"/>
          </w:tcPr>
          <w:p>
            <w:pPr>
              <w:jc w:val="center"/>
              <w:rPr>
                <w:sz w:val="21"/>
                <w:szCs w:val="21"/>
              </w:rPr>
            </w:pPr>
          </w:p>
        </w:tc>
        <w:tc>
          <w:tcPr>
            <w:tcW w:w="1089" w:type="dxa"/>
            <w:vAlign w:val="center"/>
          </w:tcPr>
          <w:p>
            <w:pPr>
              <w:jc w:val="center"/>
              <w:rPr>
                <w:sz w:val="21"/>
                <w:szCs w:val="21"/>
              </w:rPr>
            </w:pPr>
          </w:p>
        </w:tc>
        <w:tc>
          <w:tcPr>
            <w:tcW w:w="811" w:type="dxa"/>
            <w:vAlign w:val="center"/>
          </w:tcPr>
          <w:p>
            <w:pPr>
              <w:jc w:val="center"/>
              <w:rPr>
                <w:rFonts w:ascii="宋体" w:hAnsi="宋体" w:cs="宋体"/>
                <w:szCs w:val="21"/>
              </w:rPr>
            </w:pPr>
          </w:p>
        </w:tc>
        <w:tc>
          <w:tcPr>
            <w:tcW w:w="1133" w:type="dxa"/>
            <w:vAlign w:val="center"/>
          </w:tcPr>
          <w:p>
            <w:pPr>
              <w:jc w:val="center"/>
              <w:rPr>
                <w:rFonts w:ascii="宋体" w:hAnsi="宋体" w:cs="宋体"/>
                <w:szCs w:val="21"/>
              </w:rPr>
            </w:pPr>
          </w:p>
        </w:tc>
        <w:tc>
          <w:tcPr>
            <w:tcW w:w="111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spacing w:line="400" w:lineRule="exact"/>
              <w:jc w:val="center"/>
              <w:rPr>
                <w:rFonts w:hint="eastAsia" w:ascii="Times New Roman" w:hAnsi="Times New Roman" w:eastAsia="宋体" w:cs="Times New Roman"/>
                <w:kern w:val="2"/>
                <w:sz w:val="21"/>
                <w:szCs w:val="24"/>
                <w:lang w:val="en-US" w:eastAsia="zh-CN" w:bidi="ar-SA"/>
              </w:rPr>
            </w:pPr>
            <w:r>
              <w:rPr>
                <w:rFonts w:hint="eastAsia"/>
              </w:rPr>
              <w:t>开发周期/到货期</w:t>
            </w:r>
          </w:p>
        </w:tc>
        <w:tc>
          <w:tcPr>
            <w:tcW w:w="7225" w:type="dxa"/>
            <w:gridSpan w:val="5"/>
            <w:vAlign w:val="center"/>
          </w:tcPr>
          <w:p>
            <w:pPr>
              <w:spacing w:line="400" w:lineRule="exact"/>
              <w:ind w:firstLine="630" w:firstLineChars="300"/>
              <w:rPr>
                <w:rFonts w:hint="eastAsia" w:ascii="Times New Roman" w:hAnsi="Times New Roman" w:eastAsia="宋体" w:cs="Times New Roman"/>
                <w:kern w:val="2"/>
                <w:sz w:val="21"/>
                <w:szCs w:val="24"/>
                <w:lang w:val="en-US" w:eastAsia="zh-CN" w:bidi="ar-SA"/>
              </w:rPr>
            </w:pPr>
            <w:r>
              <w:rPr>
                <w:rFonts w:hint="eastAsia"/>
              </w:rPr>
              <w:t>天（不超过3</w:t>
            </w:r>
            <w:r>
              <w:t>0</w:t>
            </w:r>
            <w:r>
              <w:rPr>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spacing w:line="400" w:lineRule="exact"/>
              <w:jc w:val="center"/>
              <w:rPr>
                <w:rFonts w:hint="eastAsia" w:ascii="Times New Roman" w:hAnsi="Times New Roman" w:eastAsia="宋体" w:cs="Times New Roman"/>
                <w:kern w:val="2"/>
                <w:sz w:val="21"/>
                <w:szCs w:val="24"/>
                <w:lang w:val="en-US" w:eastAsia="zh-CN" w:bidi="ar-SA"/>
              </w:rPr>
            </w:pPr>
            <w:r>
              <w:rPr>
                <w:rFonts w:hint="eastAsia"/>
              </w:rPr>
              <w:t>开发</w:t>
            </w:r>
            <w:r>
              <w:t>地点</w:t>
            </w:r>
            <w:r>
              <w:rPr>
                <w:rFonts w:hint="eastAsia"/>
              </w:rPr>
              <w:t>/交货地点</w:t>
            </w:r>
          </w:p>
        </w:tc>
        <w:tc>
          <w:tcPr>
            <w:tcW w:w="7225" w:type="dxa"/>
            <w:gridSpan w:val="5"/>
            <w:vAlign w:val="center"/>
          </w:tcPr>
          <w:p>
            <w:pPr>
              <w:spacing w:line="400" w:lineRule="exact"/>
              <w:rPr>
                <w:rFonts w:hint="eastAsia" w:ascii="Times New Roman" w:hAnsi="Times New Roman" w:eastAsia="宋体" w:cs="Times New Roman"/>
                <w:kern w:val="2"/>
                <w:sz w:val="21"/>
                <w:szCs w:val="24"/>
                <w:lang w:val="en-US" w:eastAsia="zh-CN" w:bidi="ar-SA"/>
              </w:rPr>
            </w:pPr>
            <w:r>
              <w:rPr>
                <w:rFonts w:hint="eastAsia"/>
              </w:rPr>
              <w:t>采购人</w:t>
            </w:r>
            <w: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spacing w:line="400" w:lineRule="exact"/>
              <w:jc w:val="center"/>
              <w:rPr>
                <w:rFonts w:hint="eastAsia" w:ascii="Times New Roman" w:hAnsi="Times New Roman" w:eastAsia="宋体" w:cs="Times New Roman"/>
                <w:kern w:val="2"/>
                <w:sz w:val="21"/>
                <w:szCs w:val="24"/>
                <w:lang w:val="en-US" w:eastAsia="zh-CN" w:bidi="ar-SA"/>
              </w:rPr>
            </w:pPr>
            <w:r>
              <w:t>免费</w:t>
            </w:r>
            <w:r>
              <w:rPr>
                <w:rFonts w:hint="eastAsia"/>
              </w:rPr>
              <w:t>包</w:t>
            </w:r>
            <w:r>
              <w:t>修期</w:t>
            </w:r>
          </w:p>
        </w:tc>
        <w:tc>
          <w:tcPr>
            <w:tcW w:w="7225" w:type="dxa"/>
            <w:gridSpan w:val="5"/>
            <w:vAlign w:val="center"/>
          </w:tcPr>
          <w:p>
            <w:pPr>
              <w:spacing w:line="400" w:lineRule="exact"/>
              <w:ind w:firstLine="630" w:firstLineChars="300"/>
              <w:rPr>
                <w:rFonts w:hint="eastAsia" w:ascii="Times New Roman" w:hAnsi="Times New Roman" w:eastAsia="宋体" w:cs="Times New Roman"/>
                <w:kern w:val="2"/>
                <w:sz w:val="21"/>
                <w:szCs w:val="24"/>
                <w:lang w:val="en-US" w:eastAsia="zh-CN" w:bidi="ar-SA"/>
              </w:rPr>
            </w:pPr>
            <w:r>
              <w:rPr>
                <w:rFonts w:hint="eastAsia"/>
              </w:rPr>
              <w:t>年（初验后不少于</w:t>
            </w:r>
            <w:r>
              <w:rPr>
                <w:rFonts w:hint="eastAsia"/>
                <w:lang w:val="en-US" w:eastAsia="zh-CN"/>
              </w:rPr>
              <w:t>5</w:t>
            </w:r>
            <w: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spacing w:line="400" w:lineRule="exact"/>
              <w:jc w:val="center"/>
              <w:rPr>
                <w:rFonts w:hint="eastAsia" w:ascii="Times New Roman" w:hAnsi="Times New Roman" w:eastAsia="宋体" w:cs="Times New Roman"/>
                <w:kern w:val="2"/>
                <w:sz w:val="21"/>
                <w:szCs w:val="24"/>
                <w:lang w:val="en-US" w:eastAsia="zh-CN" w:bidi="ar-SA"/>
              </w:rPr>
            </w:pPr>
            <w:r>
              <w:rPr>
                <w:rFonts w:hint="eastAsia"/>
              </w:rPr>
              <w:t>包</w:t>
            </w:r>
            <w:r>
              <w:t>修期内的服务内容</w:t>
            </w:r>
          </w:p>
        </w:tc>
        <w:tc>
          <w:tcPr>
            <w:tcW w:w="7225" w:type="dxa"/>
            <w:gridSpan w:val="5"/>
            <w:vAlign w:val="center"/>
          </w:tcPr>
          <w:p>
            <w:pPr>
              <w:spacing w:line="400" w:lineRule="exact"/>
              <w:rPr>
                <w:u w:val="single"/>
              </w:rPr>
            </w:pPr>
            <w:r>
              <w:rPr>
                <w:rFonts w:hint="eastAsia"/>
              </w:rPr>
              <w:t>采购文件</w:t>
            </w:r>
            <w:r>
              <w:t>第五章《</w:t>
            </w:r>
            <w:r>
              <w:rPr>
                <w:rFonts w:hint="eastAsia"/>
              </w:rPr>
              <w:t>（</w:t>
            </w:r>
            <w:r>
              <w:t>技术</w:t>
            </w:r>
            <w:r>
              <w:rPr>
                <w:rFonts w:hint="eastAsia"/>
              </w:rPr>
              <w:t>）需</w:t>
            </w:r>
            <w:r>
              <w:t>求</w:t>
            </w:r>
            <w:r>
              <w:rPr>
                <w:rFonts w:hint="eastAsia"/>
              </w:rPr>
              <w:t>书</w:t>
            </w:r>
            <w:r>
              <w:t>》中所有要求的内容，以及：</w:t>
            </w:r>
          </w:p>
          <w:p>
            <w:pPr>
              <w:spacing w:line="400" w:lineRule="exac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spacing w:line="400" w:lineRule="exact"/>
              <w:jc w:val="center"/>
              <w:rPr>
                <w:rFonts w:ascii="Times New Roman" w:hAnsi="Times New Roman" w:eastAsia="宋体" w:cs="Times New Roman"/>
                <w:kern w:val="2"/>
                <w:sz w:val="21"/>
                <w:szCs w:val="24"/>
                <w:lang w:val="en-US" w:eastAsia="zh-CN" w:bidi="ar-SA"/>
              </w:rPr>
            </w:pPr>
            <w:r>
              <w:rPr>
                <w:rFonts w:hint="eastAsia"/>
              </w:rPr>
              <w:t>包</w:t>
            </w:r>
            <w:r>
              <w:t>修期满后的服务价格</w:t>
            </w:r>
          </w:p>
        </w:tc>
        <w:tc>
          <w:tcPr>
            <w:tcW w:w="7225" w:type="dxa"/>
            <w:gridSpan w:val="5"/>
            <w:vAlign w:val="center"/>
          </w:tcPr>
          <w:p>
            <w:pPr>
              <w:spacing w:line="400" w:lineRule="exact"/>
            </w:pPr>
            <w:r>
              <w:t>维保价格：</w:t>
            </w:r>
            <w:r>
              <w:rPr>
                <w:rFonts w:hint="eastAsia"/>
                <w:u w:val="single"/>
              </w:rPr>
              <w:t xml:space="preserve">      </w:t>
            </w:r>
            <w:r>
              <w:t>元/年（</w:t>
            </w:r>
            <w:r>
              <w:rPr>
                <w:szCs w:val="21"/>
              </w:rPr>
              <w:t>年维保费用不得高于合同价格的5%</w:t>
            </w:r>
            <w:r>
              <w:t>）</w:t>
            </w:r>
          </w:p>
          <w:p>
            <w:pPr>
              <w:spacing w:line="400" w:lineRule="exact"/>
              <w:rPr>
                <w:rFonts w:ascii="Times New Roman" w:hAnsi="Times New Roman" w:eastAsia="宋体" w:cs="Times New Roman"/>
                <w:kern w:val="2"/>
                <w:sz w:val="21"/>
                <w:szCs w:val="24"/>
                <w:lang w:val="en-US" w:eastAsia="zh-CN" w:bidi="ar-SA"/>
              </w:rPr>
            </w:pPr>
            <w:r>
              <w:t>包含内容：</w:t>
            </w:r>
            <w:r>
              <w:rPr>
                <w:u w:val="single"/>
              </w:rPr>
              <w:t>按照</w:t>
            </w:r>
            <w:r>
              <w:rPr>
                <w:rFonts w:hint="eastAsia"/>
                <w:u w:val="single"/>
              </w:rPr>
              <w:t>包</w:t>
            </w:r>
            <w:r>
              <w:rPr>
                <w:u w:val="single"/>
              </w:rPr>
              <w:t>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01" w:type="dxa"/>
            <w:vAlign w:val="center"/>
          </w:tcPr>
          <w:p>
            <w:pPr>
              <w:spacing w:line="400" w:lineRule="exact"/>
              <w:jc w:val="center"/>
              <w:rPr>
                <w:rFonts w:ascii="Times New Roman" w:hAnsi="Times New Roman" w:eastAsia="宋体" w:cs="Times New Roman"/>
                <w:kern w:val="2"/>
                <w:sz w:val="21"/>
                <w:szCs w:val="24"/>
                <w:u w:val="single"/>
                <w:lang w:val="en-US" w:eastAsia="zh-CN" w:bidi="ar-SA"/>
              </w:rPr>
            </w:pPr>
            <w:r>
              <w:t>备注</w:t>
            </w:r>
          </w:p>
        </w:tc>
        <w:tc>
          <w:tcPr>
            <w:tcW w:w="7225" w:type="dxa"/>
            <w:gridSpan w:val="5"/>
            <w:vAlign w:val="center"/>
          </w:tcPr>
          <w:p>
            <w:pPr>
              <w:spacing w:line="400" w:lineRule="exact"/>
              <w:rPr>
                <w:rFonts w:ascii="Times New Roman" w:hAnsi="Times New Roman" w:eastAsia="宋体" w:cs="Times New Roman"/>
                <w:kern w:val="2"/>
                <w:sz w:val="21"/>
                <w:szCs w:val="24"/>
                <w:lang w:val="en-US" w:eastAsia="zh-CN" w:bidi="ar-SA"/>
              </w:rPr>
            </w:pPr>
          </w:p>
        </w:tc>
      </w:tr>
    </w:tbl>
    <w:p/>
    <w:p>
      <w:pPr>
        <w:spacing w:line="360" w:lineRule="auto"/>
        <w:jc w:val="right"/>
        <w:rPr>
          <w:szCs w:val="21"/>
        </w:rPr>
      </w:pPr>
      <w:r>
        <w:rPr>
          <w:rFonts w:hint="eastAsia"/>
          <w:szCs w:val="21"/>
        </w:rPr>
        <w:t>供应商：</w:t>
      </w:r>
      <w:r>
        <w:rPr>
          <w:rFonts w:hint="eastAsia"/>
          <w:szCs w:val="21"/>
          <w:u w:val="single"/>
        </w:rPr>
        <w:t xml:space="preserve">                        </w:t>
      </w:r>
      <w:r>
        <w:rPr>
          <w:rFonts w:hint="eastAsia"/>
          <w:szCs w:val="21"/>
        </w:rPr>
        <w:t>（盖单位公章）</w:t>
      </w:r>
    </w:p>
    <w:p>
      <w:pPr>
        <w:spacing w:line="360" w:lineRule="auto"/>
        <w:jc w:val="right"/>
      </w:pPr>
      <w:r>
        <w:rPr>
          <w:rFonts w:hint="eastAsia"/>
          <w:szCs w:val="21"/>
        </w:rPr>
        <w:t>法定</w:t>
      </w:r>
      <w:r>
        <w:rPr>
          <w:rFonts w:hint="eastAsia"/>
        </w:rPr>
        <w:t>代表</w:t>
      </w:r>
      <w:r>
        <w:rPr>
          <w:rFonts w:hint="eastAsia"/>
          <w:szCs w:val="21"/>
        </w:rPr>
        <w:t>人或其委托代理人：</w:t>
      </w:r>
      <w:r>
        <w:rPr>
          <w:rFonts w:hint="eastAsia"/>
          <w:szCs w:val="21"/>
          <w:u w:val="single"/>
        </w:rPr>
        <w:t xml:space="preserve">          </w:t>
      </w:r>
      <w:r>
        <w:rPr>
          <w:rFonts w:hint="eastAsia"/>
          <w:szCs w:val="21"/>
        </w:rPr>
        <w:t>（</w:t>
      </w:r>
      <w:r>
        <w:rPr>
          <w:rFonts w:hint="eastAsia"/>
        </w:rPr>
        <w:t>签字</w:t>
      </w:r>
      <w:r>
        <w:rPr>
          <w:rFonts w:hint="eastAsia"/>
          <w:szCs w:val="21"/>
        </w:rPr>
        <w:t>）</w:t>
      </w:r>
    </w:p>
    <w:p>
      <w:pPr>
        <w:spacing w:line="360" w:lineRule="auto"/>
        <w:rPr>
          <w:szCs w:val="21"/>
        </w:rPr>
      </w:pPr>
      <w:r>
        <w:rPr>
          <w:rFonts w:hint="eastAsia"/>
          <w:szCs w:val="21"/>
        </w:rPr>
        <w:t xml:space="preserve">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napToGrid w:val="0"/>
        <w:spacing w:line="360" w:lineRule="auto"/>
        <w:rPr>
          <w:color w:val="000000"/>
          <w:szCs w:val="21"/>
        </w:rPr>
      </w:pPr>
      <w:r>
        <w:rPr>
          <w:color w:val="000000"/>
        </w:rPr>
        <w:t>说明：</w:t>
      </w:r>
      <w:r>
        <w:rPr>
          <w:rFonts w:hint="eastAsia"/>
          <w:color w:val="000000"/>
        </w:rPr>
        <w:t>1、</w:t>
      </w:r>
      <w:r>
        <w:rPr>
          <w:color w:val="000000"/>
          <w:szCs w:val="21"/>
        </w:rPr>
        <w:t>供应商须按照</w:t>
      </w:r>
      <w:r>
        <w:rPr>
          <w:rFonts w:hint="eastAsia"/>
          <w:color w:val="000000"/>
          <w:szCs w:val="21"/>
        </w:rPr>
        <w:t>采购</w:t>
      </w:r>
      <w:r>
        <w:rPr>
          <w:color w:val="000000"/>
          <w:szCs w:val="21"/>
        </w:rPr>
        <w:t>文件要求，提供货到用户指定现场（到楼层）并提供全部服务的含税价。</w:t>
      </w:r>
    </w:p>
    <w:p>
      <w:pPr>
        <w:numPr>
          <w:ilvl w:val="255"/>
          <w:numId w:val="0"/>
        </w:numPr>
        <w:spacing w:line="360" w:lineRule="auto"/>
        <w:ind w:firstLine="630" w:firstLineChars="300"/>
        <w:rPr>
          <w:color w:val="000000"/>
        </w:rPr>
      </w:pPr>
      <w:r>
        <w:rPr>
          <w:rFonts w:hint="eastAsia"/>
          <w:color w:val="000000"/>
        </w:rPr>
        <w:t>2、</w:t>
      </w:r>
      <w:r>
        <w:rPr>
          <w:color w:val="000000"/>
        </w:rPr>
        <w:t>对包修期满后的服务，招标人有选择最终服务商的权利。</w:t>
      </w:r>
    </w:p>
    <w:p>
      <w:pPr>
        <w:snapToGrid w:val="0"/>
        <w:spacing w:line="360" w:lineRule="auto"/>
        <w:ind w:firstLine="630" w:firstLineChars="300"/>
        <w:rPr>
          <w:color w:val="000000"/>
          <w:szCs w:val="21"/>
        </w:rPr>
      </w:pPr>
      <w:r>
        <w:rPr>
          <w:rFonts w:hint="eastAsia"/>
          <w:color w:val="000000"/>
          <w:szCs w:val="21"/>
        </w:rPr>
        <w:t>3、</w:t>
      </w:r>
      <w:r>
        <w:rPr>
          <w:color w:val="000000"/>
          <w:szCs w:val="21"/>
        </w:rPr>
        <w:t>以上内容为实质性响应内容，供应商漏写或错写，将导致</w:t>
      </w:r>
      <w:r>
        <w:rPr>
          <w:rFonts w:hint="eastAsia"/>
          <w:color w:val="000000"/>
          <w:szCs w:val="21"/>
          <w:lang w:val="en-US" w:eastAsia="zh-CN"/>
        </w:rPr>
        <w:t>响应</w:t>
      </w:r>
      <w:r>
        <w:rPr>
          <w:color w:val="000000"/>
          <w:szCs w:val="21"/>
        </w:rPr>
        <w:t>文件不予接受。</w:t>
      </w:r>
    </w:p>
    <w:p>
      <w:pPr>
        <w:snapToGrid w:val="0"/>
        <w:spacing w:line="360" w:lineRule="auto"/>
        <w:ind w:firstLine="630" w:firstLineChars="300"/>
        <w:rPr>
          <w:szCs w:val="21"/>
        </w:rPr>
      </w:pPr>
      <w:r>
        <w:rPr>
          <w:rFonts w:hint="eastAsia"/>
          <w:szCs w:val="21"/>
        </w:rPr>
        <w:t>4、</w:t>
      </w:r>
      <w:r>
        <w:rPr>
          <w:szCs w:val="21"/>
        </w:rPr>
        <w:t>小数点保留两位。</w:t>
      </w:r>
    </w:p>
    <w:p>
      <w:pPr>
        <w:rPr>
          <w:color w:val="000000"/>
          <w:szCs w:val="21"/>
        </w:rPr>
      </w:pPr>
      <w:r>
        <w:br w:type="page"/>
      </w:r>
      <w:bookmarkStart w:id="59" w:name="_Toc69378666"/>
      <w:bookmarkStart w:id="60" w:name="_Toc26259742"/>
      <w:bookmarkStart w:id="61" w:name="_Toc26260036"/>
      <w:bookmarkStart w:id="62" w:name="_Toc135999010"/>
      <w:bookmarkStart w:id="63" w:name="_Toc161767431"/>
      <w:bookmarkStart w:id="64" w:name="_Toc26260035"/>
      <w:bookmarkStart w:id="65" w:name="_Toc26259741"/>
      <w:bookmarkStart w:id="66" w:name="_Toc69378665"/>
    </w:p>
    <w:p>
      <w:pPr>
        <w:pStyle w:val="3"/>
        <w:numPr>
          <w:ilvl w:val="0"/>
          <w:numId w:val="0"/>
        </w:numPr>
        <w:snapToGrid w:val="0"/>
        <w:spacing w:before="312" w:beforeLines="100" w:after="312" w:afterLines="100"/>
        <w:ind w:right="210" w:rightChars="100"/>
        <w:rPr>
          <w:szCs w:val="24"/>
          <w:u w:val="single"/>
        </w:rPr>
      </w:pPr>
      <w:r>
        <w:rPr>
          <w:rStyle w:val="106"/>
          <w:rFonts w:hint="eastAsia" w:hAnsi="宋体"/>
          <w:b w:val="0"/>
          <w:bCs w:val="0"/>
          <w:sz w:val="24"/>
          <w:szCs w:val="24"/>
        </w:rPr>
        <w:t>附件4：商务条款偏离表</w:t>
      </w:r>
      <w:bookmarkEnd w:id="59"/>
      <w:bookmarkEnd w:id="60"/>
      <w:bookmarkEnd w:id="61"/>
      <w:bookmarkEnd w:id="62"/>
      <w:bookmarkEnd w:id="63"/>
    </w:p>
    <w:p>
      <w:pPr>
        <w:spacing w:line="360" w:lineRule="auto"/>
        <w:rPr>
          <w:sz w:val="24"/>
        </w:rPr>
      </w:pPr>
      <w:r>
        <w:rPr>
          <w:sz w:val="24"/>
        </w:rPr>
        <w:t>项目名称：</w:t>
      </w:r>
      <w:r>
        <w:rPr>
          <w:rFonts w:hint="eastAsia" w:ascii="宋体" w:hAnsi="宋体"/>
          <w:szCs w:val="21"/>
        </w:rPr>
        <w:t xml:space="preserve"> </w:t>
      </w:r>
      <w:r>
        <w:rPr>
          <w:rFonts w:hint="eastAsia"/>
          <w:sz w:val="24"/>
        </w:rPr>
        <w:t>堡垒机</w:t>
      </w:r>
      <w:r>
        <w:rPr>
          <w:rFonts w:hint="eastAsia"/>
          <w:sz w:val="24"/>
          <w:lang w:val="en-US" w:eastAsia="zh-CN"/>
        </w:rPr>
        <w:t>设备</w:t>
      </w:r>
      <w:r>
        <w:rPr>
          <w:rFonts w:hint="eastAsia"/>
          <w:sz w:val="24"/>
        </w:rPr>
        <w:t>采购</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竞争性谈判文件条目号</w:t>
            </w:r>
          </w:p>
        </w:tc>
        <w:tc>
          <w:tcPr>
            <w:tcW w:w="1303"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竞争性谈判文件的商务条款</w:t>
            </w:r>
          </w:p>
        </w:tc>
        <w:tc>
          <w:tcPr>
            <w:tcW w:w="1176"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偏离包括正、负偏离，正偏离指供应商的响应高于竞争性谈判文件要求，负偏离指供应商的响应低于竞争性谈判文件要求。</w:t>
      </w:r>
    </w:p>
    <w:p>
      <w:pPr>
        <w:widowControl/>
        <w:jc w:val="left"/>
        <w:rPr>
          <w:rStyle w:val="106"/>
          <w:rFonts w:hAnsi="宋体"/>
          <w:b w:val="0"/>
          <w:bCs w:val="0"/>
          <w:sz w:val="24"/>
          <w:szCs w:val="24"/>
        </w:rPr>
      </w:pPr>
      <w:r>
        <w:rPr>
          <w:rStyle w:val="106"/>
          <w:rFonts w:hAnsi="宋体"/>
          <w:b w:val="0"/>
          <w:sz w:val="24"/>
          <w:szCs w:val="24"/>
        </w:rPr>
        <w:br w:type="page"/>
      </w:r>
    </w:p>
    <w:bookmarkEnd w:id="64"/>
    <w:bookmarkEnd w:id="65"/>
    <w:bookmarkEnd w:id="66"/>
    <w:p>
      <w:pPr>
        <w:pStyle w:val="3"/>
        <w:numPr>
          <w:ilvl w:val="0"/>
          <w:numId w:val="0"/>
        </w:numPr>
        <w:snapToGrid w:val="0"/>
        <w:spacing w:before="312" w:beforeLines="100" w:after="312" w:afterLines="100"/>
        <w:ind w:right="210" w:rightChars="100"/>
        <w:rPr>
          <w:rStyle w:val="106"/>
          <w:rFonts w:hint="eastAsia" w:hAnsi="宋体"/>
          <w:b w:val="0"/>
          <w:bCs w:val="0"/>
          <w:sz w:val="24"/>
          <w:szCs w:val="24"/>
        </w:rPr>
      </w:pPr>
      <w:bookmarkStart w:id="67" w:name="_Toc26259743"/>
      <w:bookmarkStart w:id="68" w:name="_Toc26260037"/>
      <w:bookmarkStart w:id="69" w:name="_Toc69378667"/>
      <w:r>
        <w:rPr>
          <w:rStyle w:val="106"/>
          <w:rFonts w:hint="eastAsia" w:hAnsi="宋体"/>
          <w:b w:val="0"/>
          <w:bCs w:val="0"/>
          <w:sz w:val="24"/>
          <w:szCs w:val="24"/>
        </w:rPr>
        <w:t>附件5：合同文本的提供</w:t>
      </w:r>
    </w:p>
    <w:p>
      <w:pPr>
        <w:rPr>
          <w:rStyle w:val="106"/>
          <w:rFonts w:hint="eastAsia" w:hAnsi="宋体"/>
          <w:b w:val="0"/>
          <w:bCs w:val="0"/>
          <w:sz w:val="24"/>
          <w:szCs w:val="24"/>
        </w:rPr>
      </w:pPr>
      <w:r>
        <w:rPr>
          <w:rStyle w:val="106"/>
          <w:rFonts w:hint="eastAsia" w:hAnsi="宋体"/>
          <w:b w:val="0"/>
          <w:bCs w:val="0"/>
          <w:sz w:val="24"/>
          <w:szCs w:val="24"/>
        </w:rPr>
        <w:br w:type="page"/>
      </w:r>
    </w:p>
    <w:p>
      <w:pPr>
        <w:pStyle w:val="3"/>
        <w:numPr>
          <w:ilvl w:val="0"/>
          <w:numId w:val="0"/>
        </w:numPr>
        <w:snapToGrid w:val="0"/>
        <w:spacing w:before="312" w:beforeLines="100" w:after="312" w:afterLines="100"/>
        <w:ind w:right="210" w:rightChars="100"/>
        <w:rPr>
          <w:rStyle w:val="106"/>
          <w:bCs/>
          <w:sz w:val="24"/>
          <w:szCs w:val="24"/>
        </w:rPr>
      </w:pPr>
      <w:r>
        <w:rPr>
          <w:rStyle w:val="106"/>
          <w:rFonts w:hint="eastAsia" w:hAnsi="宋体"/>
          <w:b w:val="0"/>
          <w:bCs w:val="0"/>
          <w:sz w:val="24"/>
          <w:szCs w:val="24"/>
        </w:rPr>
        <w:t>附件</w:t>
      </w:r>
      <w:r>
        <w:rPr>
          <w:rStyle w:val="106"/>
          <w:rFonts w:hint="eastAsia" w:hAnsi="宋体"/>
          <w:b w:val="0"/>
          <w:bCs w:val="0"/>
          <w:sz w:val="24"/>
          <w:szCs w:val="24"/>
          <w:lang w:val="en-US"/>
        </w:rPr>
        <w:t>6</w:t>
      </w:r>
      <w:r>
        <w:rPr>
          <w:rStyle w:val="106"/>
          <w:rFonts w:hint="eastAsia" w:hAnsi="宋体"/>
          <w:b w:val="0"/>
          <w:bCs w:val="0"/>
          <w:sz w:val="24"/>
          <w:szCs w:val="24"/>
        </w:rPr>
        <w:t>：技术规范偏离表</w:t>
      </w:r>
      <w:bookmarkEnd w:id="67"/>
      <w:bookmarkEnd w:id="68"/>
      <w:bookmarkEnd w:id="69"/>
    </w:p>
    <w:p>
      <w:pPr>
        <w:spacing w:line="360" w:lineRule="auto"/>
        <w:rPr>
          <w:sz w:val="24"/>
        </w:rPr>
      </w:pPr>
      <w:r>
        <w:rPr>
          <w:sz w:val="24"/>
        </w:rPr>
        <w:t>项目名称：</w:t>
      </w:r>
      <w:r>
        <w:rPr>
          <w:rFonts w:hint="eastAsia"/>
          <w:sz w:val="24"/>
        </w:rPr>
        <w:t>堡垒机设备采购</w:t>
      </w:r>
    </w:p>
    <w:tbl>
      <w:tblPr>
        <w:tblStyle w:val="53"/>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761"/>
        <w:gridCol w:w="2563"/>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Align w:val="center"/>
          </w:tcPr>
          <w:p>
            <w:pPr>
              <w:spacing w:line="360" w:lineRule="auto"/>
              <w:rPr>
                <w:rFonts w:ascii="宋体" w:hAnsi="宋体"/>
                <w:szCs w:val="21"/>
              </w:rPr>
            </w:pPr>
            <w:r>
              <w:rPr>
                <w:rFonts w:hint="eastAsia" w:ascii="宋体" w:hAnsi="宋体"/>
                <w:szCs w:val="21"/>
              </w:rPr>
              <w:t xml:space="preserve"> 序号</w:t>
            </w:r>
          </w:p>
        </w:tc>
        <w:tc>
          <w:tcPr>
            <w:tcW w:w="1673"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竞争性谈判文件</w:t>
            </w:r>
            <w:r>
              <w:rPr>
                <w:rFonts w:hint="eastAsia" w:ascii="宋体"/>
                <w:bCs/>
                <w:szCs w:val="21"/>
              </w:rPr>
              <w:t>技术需求</w:t>
            </w:r>
            <w:r>
              <w:rPr>
                <w:rFonts w:hint="eastAsia" w:ascii="宋体" w:hAnsi="宋体"/>
                <w:szCs w:val="21"/>
              </w:rPr>
              <w:t>书要求</w:t>
            </w:r>
          </w:p>
        </w:tc>
        <w:tc>
          <w:tcPr>
            <w:tcW w:w="1553"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作为响应文件重要的组成部分，任何通过简单拷贝竞争性谈判文件技术要求或简单标注“符合”“满足”或使用“明白”、“理解”、“部分满足”等含混词语的响应文件将被视为实质性不符合。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偏离包括正、负偏离，正偏离指供应商的响应高于竞争性谈判文件要求，负偏离指供应商的响应低于竞争性谈判文件要求。</w:t>
      </w:r>
    </w:p>
    <w:p>
      <w:pPr>
        <w:pStyle w:val="3"/>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70" w:name="_Toc26260038"/>
      <w:bookmarkStart w:id="71" w:name="_Toc69378668"/>
      <w:bookmarkStart w:id="72" w:name="_Toc26259744"/>
      <w:bookmarkStart w:id="73" w:name="_Toc161767433"/>
      <w:bookmarkStart w:id="74" w:name="_Toc135999012"/>
      <w:r>
        <w:rPr>
          <w:rStyle w:val="106"/>
          <w:rFonts w:hint="eastAsia" w:hAnsi="宋体"/>
          <w:b w:val="0"/>
          <w:bCs w:val="0"/>
          <w:sz w:val="24"/>
          <w:szCs w:val="24"/>
        </w:rPr>
        <w:t>附件</w:t>
      </w:r>
      <w:r>
        <w:rPr>
          <w:rStyle w:val="106"/>
          <w:rFonts w:hint="eastAsia" w:hAnsi="宋体"/>
          <w:b w:val="0"/>
          <w:bCs w:val="0"/>
          <w:sz w:val="24"/>
          <w:szCs w:val="24"/>
          <w:lang w:val="en-US"/>
        </w:rPr>
        <w:t>7</w:t>
      </w:r>
      <w:r>
        <w:rPr>
          <w:rStyle w:val="106"/>
          <w:rFonts w:hint="eastAsia" w:hAnsi="宋体"/>
          <w:b w:val="0"/>
          <w:bCs w:val="0"/>
          <w:sz w:val="24"/>
          <w:szCs w:val="24"/>
        </w:rPr>
        <w:t>：资格证明文件</w:t>
      </w:r>
      <w:bookmarkEnd w:id="70"/>
      <w:bookmarkEnd w:id="71"/>
      <w:bookmarkEnd w:id="72"/>
      <w:bookmarkEnd w:id="73"/>
      <w:bookmarkEnd w:id="74"/>
    </w:p>
    <w:p>
      <w:r>
        <w:rPr>
          <w:rFonts w:hint="eastAsia"/>
        </w:rPr>
        <w:t>填写须知</w:t>
      </w:r>
    </w:p>
    <w:p>
      <w:pPr>
        <w:numPr>
          <w:ilvl w:val="0"/>
          <w:numId w:val="10"/>
        </w:numPr>
        <w:spacing w:line="360" w:lineRule="auto"/>
        <w:rPr>
          <w:rFonts w:ascii="宋体"/>
          <w:szCs w:val="21"/>
        </w:rPr>
      </w:pPr>
      <w:r>
        <w:rPr>
          <w:rFonts w:hint="eastAsia" w:ascii="宋体"/>
          <w:szCs w:val="21"/>
        </w:rPr>
        <w:t>供应商应填写和提交下述规定的全部格式以及其它有关资料。</w:t>
      </w:r>
    </w:p>
    <w:p>
      <w:pPr>
        <w:numPr>
          <w:ilvl w:val="0"/>
          <w:numId w:val="10"/>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10"/>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10"/>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10"/>
        </w:numPr>
        <w:spacing w:line="360" w:lineRule="auto"/>
        <w:rPr>
          <w:rFonts w:ascii="宋体"/>
          <w:szCs w:val="21"/>
        </w:rPr>
      </w:pPr>
      <w:r>
        <w:rPr>
          <w:rFonts w:hint="eastAsia" w:ascii="宋体"/>
          <w:szCs w:val="21"/>
        </w:rPr>
        <w:t>供应商提交的材料将被保密，但不退还。</w:t>
      </w:r>
    </w:p>
    <w:p>
      <w:pPr>
        <w:numPr>
          <w:ilvl w:val="0"/>
          <w:numId w:val="10"/>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right="210" w:rightChars="100"/>
        <w:outlineLvl w:val="3"/>
        <w:rPr>
          <w:rFonts w:ascii="黑体" w:eastAsia="黑体"/>
          <w:b/>
        </w:rPr>
      </w:pPr>
      <w:r>
        <w:rPr>
          <w:rFonts w:ascii="宋体"/>
        </w:rPr>
        <w:br w:type="page"/>
      </w:r>
      <w:r>
        <w:rPr>
          <w:rFonts w:hint="eastAsia" w:ascii="黑体" w:hAnsi="Times New Roman" w:eastAsia="黑体" w:cs="Times New Roman"/>
          <w:b/>
          <w:kern w:val="2"/>
          <w:sz w:val="21"/>
          <w:szCs w:val="24"/>
          <w:lang w:val="en-US" w:eastAsia="zh-CN" w:bidi="ar-SA"/>
        </w:rPr>
        <w:t>7-1  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采购名称</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11"/>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11"/>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11"/>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color w:val="000000"/>
        </w:rPr>
      </w:pPr>
      <w:r>
        <w:rPr>
          <w:rFonts w:hint="eastAsia"/>
          <w:b/>
          <w:color w:val="000000"/>
        </w:rPr>
        <w:t>供应商</w:t>
      </w:r>
      <w:r>
        <w:rPr>
          <w:b/>
          <w:color w:val="000000"/>
        </w:rPr>
        <w:t xml:space="preserve"> </w:t>
      </w:r>
      <w:r>
        <w:rPr>
          <w:color w:val="000000"/>
        </w:rPr>
        <w:t xml:space="preserve">                                授权签署本资格文件</w:t>
      </w:r>
    </w:p>
    <w:p>
      <w:pPr>
        <w:spacing w:line="360" w:lineRule="auto"/>
        <w:rPr>
          <w:color w:val="000000"/>
        </w:rPr>
      </w:pPr>
      <w:r>
        <w:rPr>
          <w:color w:val="000000"/>
        </w:rPr>
        <w:t>名称（盖章）</w:t>
      </w:r>
      <w:r>
        <w:rPr>
          <w:color w:val="000000"/>
          <w:u w:val="single"/>
        </w:rPr>
        <w:t xml:space="preserve">                     </w:t>
      </w:r>
      <w:r>
        <w:rPr>
          <w:color w:val="000000"/>
        </w:rPr>
        <w:t xml:space="preserve">      签字人姓名、职务（印刷字体）</w:t>
      </w:r>
    </w:p>
    <w:p>
      <w:pPr>
        <w:spacing w:line="360" w:lineRule="auto"/>
        <w:rPr>
          <w:color w:val="000000"/>
        </w:rPr>
      </w:pPr>
      <w:r>
        <w:rPr>
          <w:color w:val="000000"/>
        </w:rPr>
        <w:t>地址</w:t>
      </w:r>
      <w:r>
        <w:rPr>
          <w:color w:val="000000"/>
          <w:u w:val="single"/>
        </w:rPr>
        <w:t xml:space="preserve">                             </w:t>
      </w:r>
      <w:r>
        <w:rPr>
          <w:color w:val="000000"/>
        </w:rPr>
        <w:t xml:space="preserve">      </w:t>
      </w:r>
      <w:r>
        <w:rPr>
          <w:color w:val="000000"/>
          <w:u w:val="single"/>
        </w:rPr>
        <w:t xml:space="preserve">                            </w:t>
      </w:r>
    </w:p>
    <w:p>
      <w:pPr>
        <w:spacing w:line="360" w:lineRule="auto"/>
        <w:rPr>
          <w:color w:val="000000"/>
          <w:u w:val="single"/>
        </w:rPr>
      </w:pPr>
      <w:r>
        <w:rPr>
          <w:color w:val="000000"/>
        </w:rPr>
        <w:t>传真</w:t>
      </w:r>
      <w:r>
        <w:rPr>
          <w:color w:val="000000"/>
          <w:u w:val="single"/>
        </w:rPr>
        <w:t xml:space="preserve">                             </w:t>
      </w:r>
      <w:r>
        <w:rPr>
          <w:color w:val="000000"/>
        </w:rPr>
        <w:t xml:space="preserve">      签字</w:t>
      </w:r>
      <w:r>
        <w:rPr>
          <w:color w:val="000000"/>
          <w:u w:val="single"/>
        </w:rPr>
        <w:t xml:space="preserve">                        </w:t>
      </w:r>
    </w:p>
    <w:p>
      <w:pPr>
        <w:spacing w:line="360" w:lineRule="auto"/>
        <w:rPr>
          <w:rFonts w:ascii="宋体"/>
          <w:u w:val="single"/>
        </w:rPr>
      </w:pPr>
      <w:r>
        <w:rPr>
          <w:color w:val="000000"/>
        </w:rPr>
        <w:t>邮编</w:t>
      </w:r>
      <w:r>
        <w:rPr>
          <w:color w:val="000000"/>
          <w:u w:val="single"/>
        </w:rPr>
        <w:t xml:space="preserve">                             </w:t>
      </w:r>
      <w:r>
        <w:rPr>
          <w:color w:val="000000"/>
        </w:rPr>
        <w:t xml:space="preserve">      电话</w:t>
      </w:r>
      <w:r>
        <w:rPr>
          <w:color w:val="000000"/>
          <w:u w:val="single"/>
        </w:rPr>
        <w:t xml:space="preserve">                        </w:t>
      </w:r>
    </w:p>
    <w:p>
      <w:pPr>
        <w:snapToGrid w:val="0"/>
        <w:spacing w:before="312" w:beforeLines="100" w:after="312" w:afterLines="100"/>
        <w:ind w:right="210" w:rightChars="100"/>
        <w:outlineLvl w:val="3"/>
        <w:rPr>
          <w:rFonts w:ascii="黑体" w:eastAsia="黑体"/>
          <w:b/>
        </w:rPr>
      </w:pPr>
      <w:r>
        <w:rPr>
          <w:rFonts w:ascii="宋体"/>
          <w:u w:val="single"/>
        </w:rPr>
        <w:br w:type="page"/>
      </w:r>
      <w:r>
        <w:rPr>
          <w:rFonts w:hint="eastAsia" w:ascii="黑体" w:eastAsia="黑体" w:cs="Times New Roman"/>
          <w:b/>
          <w:kern w:val="2"/>
          <w:sz w:val="21"/>
          <w:szCs w:val="24"/>
          <w:lang w:val="en-US" w:eastAsia="zh-CN" w:bidi="ar-SA"/>
        </w:rPr>
        <w:t>7</w:t>
      </w:r>
      <w:r>
        <w:rPr>
          <w:rFonts w:hint="eastAsia" w:ascii="黑体" w:hAnsi="Times New Roman" w:eastAsia="黑体" w:cs="Times New Roman"/>
          <w:b/>
          <w:kern w:val="2"/>
          <w:sz w:val="21"/>
          <w:szCs w:val="24"/>
          <w:lang w:val="en-US" w:eastAsia="zh-CN" w:bidi="ar-SA"/>
        </w:rPr>
        <w:t>-2  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12"/>
        </w:numPr>
        <w:spacing w:line="360" w:lineRule="auto"/>
        <w:rPr>
          <w:rFonts w:ascii="宋体" w:hAnsi="宋体"/>
          <w:szCs w:val="21"/>
          <w:u w:val="single"/>
        </w:rPr>
      </w:pPr>
      <w:r>
        <w:rPr>
          <w:rFonts w:hint="eastAsia" w:ascii="宋体" w:hAnsi="宋体"/>
          <w:szCs w:val="21"/>
        </w:rPr>
        <w:t>供应商名称：</w:t>
      </w:r>
    </w:p>
    <w:p>
      <w:pPr>
        <w:numPr>
          <w:ilvl w:val="0"/>
          <w:numId w:val="12"/>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12"/>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12"/>
        </w:numPr>
        <w:spacing w:line="360" w:lineRule="auto"/>
        <w:rPr>
          <w:rFonts w:ascii="宋体" w:hAnsi="宋体"/>
          <w:szCs w:val="21"/>
        </w:rPr>
      </w:pPr>
      <w:r>
        <w:rPr>
          <w:rFonts w:hint="eastAsia" w:ascii="宋体" w:hAnsi="宋体"/>
          <w:szCs w:val="21"/>
        </w:rPr>
        <w:t>实收资本：</w:t>
      </w:r>
    </w:p>
    <w:p>
      <w:pPr>
        <w:numPr>
          <w:ilvl w:val="0"/>
          <w:numId w:val="12"/>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12"/>
        </w:numPr>
        <w:spacing w:line="360" w:lineRule="auto"/>
        <w:rPr>
          <w:rFonts w:ascii="宋体" w:hAnsi="宋体"/>
          <w:szCs w:val="21"/>
          <w:u w:val="single"/>
        </w:rPr>
      </w:pPr>
      <w:r>
        <w:rPr>
          <w:rFonts w:hint="eastAsia" w:ascii="宋体" w:hAnsi="宋体"/>
          <w:szCs w:val="21"/>
        </w:rPr>
        <w:t>主要负责人名称：（可选填）</w:t>
      </w:r>
    </w:p>
    <w:p>
      <w:pPr>
        <w:numPr>
          <w:ilvl w:val="0"/>
          <w:numId w:val="12"/>
        </w:numPr>
        <w:spacing w:line="360" w:lineRule="auto"/>
        <w:rPr>
          <w:rFonts w:ascii="宋体" w:hAnsi="宋体"/>
          <w:szCs w:val="21"/>
        </w:rPr>
      </w:pPr>
      <w:r>
        <w:rPr>
          <w:rFonts w:hint="eastAsia" w:ascii="宋体" w:hAnsi="宋体"/>
          <w:szCs w:val="21"/>
        </w:rPr>
        <w:t>供应商在中国的代表的姓名和地址：（可选填）</w:t>
      </w:r>
    </w:p>
    <w:p>
      <w:pPr>
        <w:numPr>
          <w:ilvl w:val="0"/>
          <w:numId w:val="12"/>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12"/>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12"/>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rPr>
      </w:pPr>
      <w:r>
        <w:rPr>
          <w:rFonts w:hint="eastAsia" w:ascii="宋体" w:hAnsi="宋体"/>
          <w:szCs w:val="21"/>
        </w:rPr>
        <w:t>电子函件：</w:t>
      </w:r>
    </w:p>
    <w:p>
      <w:pPr>
        <w:rPr>
          <w:rFonts w:ascii="宋体" w:hAnsi="宋体"/>
          <w:szCs w:val="21"/>
        </w:rPr>
      </w:pPr>
      <w:r>
        <w:rPr>
          <w:rFonts w:hint="eastAsia" w:ascii="宋体" w:hAnsi="宋体"/>
          <w:szCs w:val="21"/>
        </w:rPr>
        <w:br w:type="page"/>
      </w:r>
    </w:p>
    <w:p>
      <w:pPr>
        <w:pStyle w:val="6"/>
        <w:rPr>
          <w:rFonts w:ascii="黑体" w:eastAsia="黑体"/>
          <w:b/>
          <w:sz w:val="21"/>
          <w:szCs w:val="24"/>
        </w:rPr>
      </w:pPr>
      <w:r>
        <w:rPr>
          <w:rFonts w:hint="eastAsia" w:ascii="黑体" w:eastAsia="黑体"/>
          <w:b/>
          <w:sz w:val="21"/>
          <w:szCs w:val="24"/>
          <w:lang w:val="en-US" w:eastAsia="zh-CN"/>
        </w:rPr>
        <w:t>7</w:t>
      </w:r>
      <w:r>
        <w:rPr>
          <w:rFonts w:hint="eastAsia" w:ascii="黑体" w:eastAsia="黑体"/>
          <w:b/>
          <w:sz w:val="21"/>
          <w:szCs w:val="24"/>
        </w:rPr>
        <w:t>-3  资格要求证明材料</w:t>
      </w:r>
    </w:p>
    <w:p>
      <w:pPr>
        <w:snapToGrid w:val="0"/>
        <w:spacing w:before="312" w:beforeLines="100" w:after="312" w:afterLines="100"/>
        <w:ind w:left="210" w:leftChars="100" w:right="210" w:rightChars="100" w:firstLine="420" w:firstLineChars="200"/>
        <w:rPr>
          <w:rFonts w:ascii="宋体" w:hAnsi="宋体"/>
          <w:szCs w:val="21"/>
          <w:u w:val="single"/>
        </w:rPr>
      </w:pPr>
    </w:p>
    <w:bookmarkEnd w:id="26"/>
    <w:bookmarkEnd w:id="53"/>
    <w:bookmarkEnd w:id="54"/>
    <w:bookmarkEnd w:id="55"/>
    <w:p>
      <w:r>
        <w:br w:type="page"/>
      </w:r>
    </w:p>
    <w:p>
      <w:pPr>
        <w:pStyle w:val="6"/>
        <w:rPr>
          <w:rFonts w:ascii="黑体" w:eastAsia="黑体"/>
          <w:b/>
          <w:sz w:val="21"/>
          <w:szCs w:val="24"/>
        </w:rPr>
      </w:pPr>
      <w:bookmarkStart w:id="75" w:name="_Toc19572"/>
      <w:r>
        <w:rPr>
          <w:rFonts w:hint="eastAsia" w:ascii="黑体" w:eastAsia="黑体"/>
          <w:b/>
          <w:sz w:val="21"/>
          <w:szCs w:val="24"/>
          <w:lang w:val="en-US" w:eastAsia="zh-CN"/>
        </w:rPr>
        <w:t>7</w:t>
      </w:r>
      <w:r>
        <w:rPr>
          <w:rFonts w:hint="eastAsia" w:ascii="黑体" w:eastAsia="黑体"/>
          <w:b/>
          <w:sz w:val="21"/>
          <w:szCs w:val="24"/>
        </w:rPr>
        <w:t>-4  供应商认为需要提供的其它证明材料</w:t>
      </w:r>
      <w:bookmarkEnd w:id="75"/>
    </w:p>
    <w:p>
      <w:pPr>
        <w:pStyle w:val="6"/>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简体">
    <w:panose1 w:val="02000000000000000000"/>
    <w:charset w:val="86"/>
    <w:family w:val="script"/>
    <w:pitch w:val="default"/>
    <w:sig w:usb0="A00002BF" w:usb1="184F6CFA" w:usb2="00000012"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53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0440388E"/>
    <w:multiLevelType w:val="multilevel"/>
    <w:tmpl w:val="0440388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4">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5">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6">
    <w:nsid w:val="4D9645EC"/>
    <w:multiLevelType w:val="multilevel"/>
    <w:tmpl w:val="4D9645EC"/>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7">
    <w:nsid w:val="4DAC762D"/>
    <w:multiLevelType w:val="multilevel"/>
    <w:tmpl w:val="4DAC762D"/>
    <w:lvl w:ilvl="0" w:tentative="0">
      <w:start w:val="1"/>
      <w:numFmt w:val="chineseCountingThousand"/>
      <w:pStyle w:val="2"/>
      <w:suff w:val="space"/>
      <w:lvlText w:val="第%1章"/>
      <w:lvlJc w:val="center"/>
      <w:pPr>
        <w:ind w:left="4815" w:firstLine="288"/>
      </w:pPr>
      <w:rPr>
        <w:rFonts w:hint="eastAsia"/>
        <w:b/>
        <w:sz w:val="36"/>
        <w:szCs w:val="36"/>
      </w:rPr>
    </w:lvl>
    <w:lvl w:ilvl="1" w:tentative="0">
      <w:start w:val="1"/>
      <w:numFmt w:val="decimal"/>
      <w:pStyle w:val="3"/>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8">
    <w:nsid w:val="512D7E78"/>
    <w:multiLevelType w:val="multilevel"/>
    <w:tmpl w:val="512D7E78"/>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ind w:left="1691" w:hanging="420"/>
      </w:pPr>
      <w:rPr>
        <w:rFonts w:hint="default" w:ascii="Wingdings" w:hAnsi="Wingdings"/>
      </w:rPr>
    </w:lvl>
    <w:lvl w:ilvl="2" w:tentative="0">
      <w:start w:val="1"/>
      <w:numFmt w:val="bullet"/>
      <w:lvlText w:val=""/>
      <w:lvlJc w:val="left"/>
      <w:pPr>
        <w:ind w:left="2111" w:hanging="420"/>
      </w:pPr>
      <w:rPr>
        <w:rFonts w:hint="default" w:ascii="Wingdings" w:hAnsi="Wingdings"/>
      </w:rPr>
    </w:lvl>
    <w:lvl w:ilvl="3" w:tentative="0">
      <w:start w:val="1"/>
      <w:numFmt w:val="bullet"/>
      <w:lvlText w:val=""/>
      <w:lvlJc w:val="left"/>
      <w:pPr>
        <w:ind w:left="2531" w:hanging="420"/>
      </w:pPr>
      <w:rPr>
        <w:rFonts w:hint="default" w:ascii="Wingdings" w:hAnsi="Wingdings"/>
      </w:rPr>
    </w:lvl>
    <w:lvl w:ilvl="4" w:tentative="0">
      <w:start w:val="1"/>
      <w:numFmt w:val="bullet"/>
      <w:lvlText w:val=""/>
      <w:lvlJc w:val="left"/>
      <w:pPr>
        <w:ind w:left="2951" w:hanging="420"/>
      </w:pPr>
      <w:rPr>
        <w:rFonts w:hint="default" w:ascii="Wingdings" w:hAnsi="Wingdings"/>
      </w:rPr>
    </w:lvl>
    <w:lvl w:ilvl="5" w:tentative="0">
      <w:start w:val="1"/>
      <w:numFmt w:val="bullet"/>
      <w:lvlText w:val=""/>
      <w:lvlJc w:val="left"/>
      <w:pPr>
        <w:ind w:left="3371" w:hanging="420"/>
      </w:pPr>
      <w:rPr>
        <w:rFonts w:hint="default" w:ascii="Wingdings" w:hAnsi="Wingdings"/>
      </w:rPr>
    </w:lvl>
    <w:lvl w:ilvl="6" w:tentative="0">
      <w:start w:val="1"/>
      <w:numFmt w:val="bullet"/>
      <w:lvlText w:val=""/>
      <w:lvlJc w:val="left"/>
      <w:pPr>
        <w:ind w:left="3791" w:hanging="420"/>
      </w:pPr>
      <w:rPr>
        <w:rFonts w:hint="default" w:ascii="Wingdings" w:hAnsi="Wingdings"/>
      </w:rPr>
    </w:lvl>
    <w:lvl w:ilvl="7" w:tentative="0">
      <w:start w:val="1"/>
      <w:numFmt w:val="bullet"/>
      <w:lvlText w:val=""/>
      <w:lvlJc w:val="left"/>
      <w:pPr>
        <w:ind w:left="4211" w:hanging="420"/>
      </w:pPr>
      <w:rPr>
        <w:rFonts w:hint="default" w:ascii="Wingdings" w:hAnsi="Wingdings"/>
      </w:rPr>
    </w:lvl>
    <w:lvl w:ilvl="8" w:tentative="0">
      <w:start w:val="1"/>
      <w:numFmt w:val="bullet"/>
      <w:lvlText w:val=""/>
      <w:lvlJc w:val="left"/>
      <w:pPr>
        <w:ind w:left="4631" w:hanging="420"/>
      </w:pPr>
      <w:rPr>
        <w:rFonts w:hint="default" w:ascii="Wingdings" w:hAnsi="Wingdings"/>
      </w:rPr>
    </w:lvl>
  </w:abstractNum>
  <w:abstractNum w:abstractNumId="9">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620DB908"/>
    <w:multiLevelType w:val="singleLevel"/>
    <w:tmpl w:val="620DB908"/>
    <w:lvl w:ilvl="0" w:tentative="0">
      <w:start w:val="1"/>
      <w:numFmt w:val="decimal"/>
      <w:suff w:val="nothing"/>
      <w:lvlText w:val="%1、"/>
      <w:lvlJc w:val="left"/>
    </w:lvl>
  </w:abstractNum>
  <w:abstractNum w:abstractNumId="11">
    <w:nsid w:val="648F044E"/>
    <w:multiLevelType w:val="multilevel"/>
    <w:tmpl w:val="648F044E"/>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7"/>
  </w:num>
  <w:num w:numId="2">
    <w:abstractNumId w:val="5"/>
  </w:num>
  <w:num w:numId="3">
    <w:abstractNumId w:val="1"/>
  </w:num>
  <w:num w:numId="4">
    <w:abstractNumId w:val="0"/>
  </w:num>
  <w:num w:numId="5">
    <w:abstractNumId w:val="10"/>
  </w:num>
  <w:num w:numId="6">
    <w:abstractNumId w:val="2"/>
  </w:num>
  <w:num w:numId="7">
    <w:abstractNumId w:val="11"/>
  </w:num>
  <w:num w:numId="8">
    <w:abstractNumId w:val="6"/>
  </w:num>
  <w:num w:numId="9">
    <w:abstractNumId w:val="8"/>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jQ5ZTU3YzNmNTVlM2M5N2YwMDRlMDhhOGM0MzQifQ=="/>
  </w:docVars>
  <w:rsids>
    <w:rsidRoot w:val="00C31D55"/>
    <w:rsid w:val="0000165B"/>
    <w:rsid w:val="00001D1B"/>
    <w:rsid w:val="00002668"/>
    <w:rsid w:val="00002A35"/>
    <w:rsid w:val="00002D14"/>
    <w:rsid w:val="00003F25"/>
    <w:rsid w:val="000047B6"/>
    <w:rsid w:val="000055AC"/>
    <w:rsid w:val="00006DA6"/>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25EFB"/>
    <w:rsid w:val="00030A9D"/>
    <w:rsid w:val="00031B2F"/>
    <w:rsid w:val="00031DEF"/>
    <w:rsid w:val="00031E87"/>
    <w:rsid w:val="00033EFE"/>
    <w:rsid w:val="00034705"/>
    <w:rsid w:val="0003496A"/>
    <w:rsid w:val="00035296"/>
    <w:rsid w:val="000352DD"/>
    <w:rsid w:val="000365EA"/>
    <w:rsid w:val="00037097"/>
    <w:rsid w:val="00037954"/>
    <w:rsid w:val="00040EF4"/>
    <w:rsid w:val="00040F17"/>
    <w:rsid w:val="00041779"/>
    <w:rsid w:val="00042584"/>
    <w:rsid w:val="000438A5"/>
    <w:rsid w:val="00045744"/>
    <w:rsid w:val="00045A14"/>
    <w:rsid w:val="00050BFA"/>
    <w:rsid w:val="00051071"/>
    <w:rsid w:val="0005189A"/>
    <w:rsid w:val="00053058"/>
    <w:rsid w:val="00053A52"/>
    <w:rsid w:val="00053B14"/>
    <w:rsid w:val="00053E14"/>
    <w:rsid w:val="00053E94"/>
    <w:rsid w:val="0005497F"/>
    <w:rsid w:val="0005620D"/>
    <w:rsid w:val="00056D8B"/>
    <w:rsid w:val="00056FD5"/>
    <w:rsid w:val="000577B3"/>
    <w:rsid w:val="000578CD"/>
    <w:rsid w:val="0005799E"/>
    <w:rsid w:val="000618EA"/>
    <w:rsid w:val="00061F51"/>
    <w:rsid w:val="00062477"/>
    <w:rsid w:val="00064583"/>
    <w:rsid w:val="00064913"/>
    <w:rsid w:val="00066324"/>
    <w:rsid w:val="00067FDF"/>
    <w:rsid w:val="00070964"/>
    <w:rsid w:val="0007125B"/>
    <w:rsid w:val="00071DBA"/>
    <w:rsid w:val="00072029"/>
    <w:rsid w:val="000728EA"/>
    <w:rsid w:val="0007445B"/>
    <w:rsid w:val="000760C6"/>
    <w:rsid w:val="0007666E"/>
    <w:rsid w:val="00076700"/>
    <w:rsid w:val="00076D4E"/>
    <w:rsid w:val="00080C1A"/>
    <w:rsid w:val="00082069"/>
    <w:rsid w:val="00082160"/>
    <w:rsid w:val="00082D5D"/>
    <w:rsid w:val="00083045"/>
    <w:rsid w:val="00084999"/>
    <w:rsid w:val="00084E3F"/>
    <w:rsid w:val="00085413"/>
    <w:rsid w:val="00087025"/>
    <w:rsid w:val="00087E73"/>
    <w:rsid w:val="00090871"/>
    <w:rsid w:val="00091477"/>
    <w:rsid w:val="00092C2E"/>
    <w:rsid w:val="00093016"/>
    <w:rsid w:val="0009447A"/>
    <w:rsid w:val="00095F5C"/>
    <w:rsid w:val="00096080"/>
    <w:rsid w:val="00096339"/>
    <w:rsid w:val="000A28DA"/>
    <w:rsid w:val="000A3669"/>
    <w:rsid w:val="000A5155"/>
    <w:rsid w:val="000A688C"/>
    <w:rsid w:val="000A7250"/>
    <w:rsid w:val="000A72D9"/>
    <w:rsid w:val="000A7D58"/>
    <w:rsid w:val="000B02BC"/>
    <w:rsid w:val="000B0B4C"/>
    <w:rsid w:val="000B11A0"/>
    <w:rsid w:val="000B4FAD"/>
    <w:rsid w:val="000B55EC"/>
    <w:rsid w:val="000B5724"/>
    <w:rsid w:val="000B5E63"/>
    <w:rsid w:val="000B6D7B"/>
    <w:rsid w:val="000C17AA"/>
    <w:rsid w:val="000C22C4"/>
    <w:rsid w:val="000C29FA"/>
    <w:rsid w:val="000C352F"/>
    <w:rsid w:val="000C3B31"/>
    <w:rsid w:val="000C3D44"/>
    <w:rsid w:val="000C489F"/>
    <w:rsid w:val="000C4C74"/>
    <w:rsid w:val="000C5934"/>
    <w:rsid w:val="000C6EF4"/>
    <w:rsid w:val="000C70D2"/>
    <w:rsid w:val="000D02BB"/>
    <w:rsid w:val="000D3662"/>
    <w:rsid w:val="000D54F8"/>
    <w:rsid w:val="000D66A3"/>
    <w:rsid w:val="000D6E29"/>
    <w:rsid w:val="000D6FBE"/>
    <w:rsid w:val="000E0500"/>
    <w:rsid w:val="000E41E7"/>
    <w:rsid w:val="000E5C95"/>
    <w:rsid w:val="000E6277"/>
    <w:rsid w:val="000E7497"/>
    <w:rsid w:val="000E795C"/>
    <w:rsid w:val="000F1443"/>
    <w:rsid w:val="000F2D35"/>
    <w:rsid w:val="000F38BD"/>
    <w:rsid w:val="000F5FE5"/>
    <w:rsid w:val="000F6FE1"/>
    <w:rsid w:val="000F7CED"/>
    <w:rsid w:val="00100B22"/>
    <w:rsid w:val="001014D5"/>
    <w:rsid w:val="00102ACF"/>
    <w:rsid w:val="00105AA5"/>
    <w:rsid w:val="00105B57"/>
    <w:rsid w:val="001060EC"/>
    <w:rsid w:val="00106A2A"/>
    <w:rsid w:val="00106F9D"/>
    <w:rsid w:val="001077D6"/>
    <w:rsid w:val="00107D09"/>
    <w:rsid w:val="00110461"/>
    <w:rsid w:val="0011219E"/>
    <w:rsid w:val="00112D23"/>
    <w:rsid w:val="00113255"/>
    <w:rsid w:val="00113435"/>
    <w:rsid w:val="001135CE"/>
    <w:rsid w:val="001136A7"/>
    <w:rsid w:val="0011471E"/>
    <w:rsid w:val="00115AC1"/>
    <w:rsid w:val="00117CA9"/>
    <w:rsid w:val="0012233A"/>
    <w:rsid w:val="00123B7D"/>
    <w:rsid w:val="00124678"/>
    <w:rsid w:val="001267E8"/>
    <w:rsid w:val="0012786A"/>
    <w:rsid w:val="0013034C"/>
    <w:rsid w:val="0013062F"/>
    <w:rsid w:val="001306F9"/>
    <w:rsid w:val="00130F8C"/>
    <w:rsid w:val="00131658"/>
    <w:rsid w:val="00133D00"/>
    <w:rsid w:val="00133D94"/>
    <w:rsid w:val="0013411C"/>
    <w:rsid w:val="001345BD"/>
    <w:rsid w:val="001354DA"/>
    <w:rsid w:val="00136B87"/>
    <w:rsid w:val="0013763D"/>
    <w:rsid w:val="001404C4"/>
    <w:rsid w:val="00141AE1"/>
    <w:rsid w:val="00141DEE"/>
    <w:rsid w:val="001424F4"/>
    <w:rsid w:val="001437EE"/>
    <w:rsid w:val="001453C5"/>
    <w:rsid w:val="00147621"/>
    <w:rsid w:val="00147FB5"/>
    <w:rsid w:val="00150FE4"/>
    <w:rsid w:val="00151447"/>
    <w:rsid w:val="00151FAB"/>
    <w:rsid w:val="0015329D"/>
    <w:rsid w:val="00153E7F"/>
    <w:rsid w:val="00154AE8"/>
    <w:rsid w:val="00154B29"/>
    <w:rsid w:val="00154BF3"/>
    <w:rsid w:val="00154CBB"/>
    <w:rsid w:val="00155F8E"/>
    <w:rsid w:val="00156879"/>
    <w:rsid w:val="0015708F"/>
    <w:rsid w:val="00157313"/>
    <w:rsid w:val="001609CF"/>
    <w:rsid w:val="001618E3"/>
    <w:rsid w:val="00161FB9"/>
    <w:rsid w:val="00162672"/>
    <w:rsid w:val="00162D92"/>
    <w:rsid w:val="00163258"/>
    <w:rsid w:val="001636DE"/>
    <w:rsid w:val="0016388E"/>
    <w:rsid w:val="00163E91"/>
    <w:rsid w:val="001659CD"/>
    <w:rsid w:val="00167496"/>
    <w:rsid w:val="00167A90"/>
    <w:rsid w:val="001708C4"/>
    <w:rsid w:val="00170BE5"/>
    <w:rsid w:val="00171FDA"/>
    <w:rsid w:val="00172446"/>
    <w:rsid w:val="00172B39"/>
    <w:rsid w:val="001730DF"/>
    <w:rsid w:val="001738F1"/>
    <w:rsid w:val="001759B2"/>
    <w:rsid w:val="00175A52"/>
    <w:rsid w:val="001764D0"/>
    <w:rsid w:val="00176D2C"/>
    <w:rsid w:val="00176FDB"/>
    <w:rsid w:val="00177676"/>
    <w:rsid w:val="00177E3C"/>
    <w:rsid w:val="00181462"/>
    <w:rsid w:val="0018189F"/>
    <w:rsid w:val="0018438A"/>
    <w:rsid w:val="00185166"/>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1B66"/>
    <w:rsid w:val="001A22AA"/>
    <w:rsid w:val="001A256C"/>
    <w:rsid w:val="001A3E12"/>
    <w:rsid w:val="001A5077"/>
    <w:rsid w:val="001A55B3"/>
    <w:rsid w:val="001A59E4"/>
    <w:rsid w:val="001A5F66"/>
    <w:rsid w:val="001A60DB"/>
    <w:rsid w:val="001A74D8"/>
    <w:rsid w:val="001A780A"/>
    <w:rsid w:val="001A7E15"/>
    <w:rsid w:val="001B1B6F"/>
    <w:rsid w:val="001B31A4"/>
    <w:rsid w:val="001B33FB"/>
    <w:rsid w:val="001B3C75"/>
    <w:rsid w:val="001B5AD8"/>
    <w:rsid w:val="001B5F1D"/>
    <w:rsid w:val="001B6AD9"/>
    <w:rsid w:val="001B761F"/>
    <w:rsid w:val="001C00DC"/>
    <w:rsid w:val="001C0AB0"/>
    <w:rsid w:val="001C100F"/>
    <w:rsid w:val="001C1382"/>
    <w:rsid w:val="001C2886"/>
    <w:rsid w:val="001C28DC"/>
    <w:rsid w:val="001C32A3"/>
    <w:rsid w:val="001C3919"/>
    <w:rsid w:val="001C4283"/>
    <w:rsid w:val="001C5180"/>
    <w:rsid w:val="001C598B"/>
    <w:rsid w:val="001C6E87"/>
    <w:rsid w:val="001C71DD"/>
    <w:rsid w:val="001C7286"/>
    <w:rsid w:val="001C7EA2"/>
    <w:rsid w:val="001D0F65"/>
    <w:rsid w:val="001D1377"/>
    <w:rsid w:val="001D23D9"/>
    <w:rsid w:val="001D2705"/>
    <w:rsid w:val="001D34DC"/>
    <w:rsid w:val="001D375F"/>
    <w:rsid w:val="001D384F"/>
    <w:rsid w:val="001D415F"/>
    <w:rsid w:val="001D4EE6"/>
    <w:rsid w:val="001D6C53"/>
    <w:rsid w:val="001D73F4"/>
    <w:rsid w:val="001D7B98"/>
    <w:rsid w:val="001E16C1"/>
    <w:rsid w:val="001E371B"/>
    <w:rsid w:val="001E56B6"/>
    <w:rsid w:val="001E653F"/>
    <w:rsid w:val="001F0329"/>
    <w:rsid w:val="001F10B7"/>
    <w:rsid w:val="001F19AA"/>
    <w:rsid w:val="001F1C2F"/>
    <w:rsid w:val="001F2993"/>
    <w:rsid w:val="001F36D2"/>
    <w:rsid w:val="001F3B74"/>
    <w:rsid w:val="001F3D3C"/>
    <w:rsid w:val="001F4134"/>
    <w:rsid w:val="001F48E2"/>
    <w:rsid w:val="001F4E78"/>
    <w:rsid w:val="001F504F"/>
    <w:rsid w:val="001F639B"/>
    <w:rsid w:val="001F7409"/>
    <w:rsid w:val="001F7C0B"/>
    <w:rsid w:val="001F7EA3"/>
    <w:rsid w:val="00200232"/>
    <w:rsid w:val="0020086F"/>
    <w:rsid w:val="00200BEA"/>
    <w:rsid w:val="00200E77"/>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883"/>
    <w:rsid w:val="00217FE0"/>
    <w:rsid w:val="00220C69"/>
    <w:rsid w:val="0022136D"/>
    <w:rsid w:val="002225AD"/>
    <w:rsid w:val="00223502"/>
    <w:rsid w:val="00223BB5"/>
    <w:rsid w:val="00224456"/>
    <w:rsid w:val="0022501D"/>
    <w:rsid w:val="00226F02"/>
    <w:rsid w:val="0022732E"/>
    <w:rsid w:val="002273BE"/>
    <w:rsid w:val="00227953"/>
    <w:rsid w:val="00227DB7"/>
    <w:rsid w:val="00230702"/>
    <w:rsid w:val="002322AB"/>
    <w:rsid w:val="002338C7"/>
    <w:rsid w:val="00233F18"/>
    <w:rsid w:val="0023456B"/>
    <w:rsid w:val="002347CA"/>
    <w:rsid w:val="00235732"/>
    <w:rsid w:val="00235961"/>
    <w:rsid w:val="00236180"/>
    <w:rsid w:val="00237DAF"/>
    <w:rsid w:val="00237FA2"/>
    <w:rsid w:val="00240120"/>
    <w:rsid w:val="00240411"/>
    <w:rsid w:val="00240D7C"/>
    <w:rsid w:val="00240F58"/>
    <w:rsid w:val="00241B08"/>
    <w:rsid w:val="00242670"/>
    <w:rsid w:val="00242D72"/>
    <w:rsid w:val="0024300F"/>
    <w:rsid w:val="002430DE"/>
    <w:rsid w:val="00243373"/>
    <w:rsid w:val="002438C1"/>
    <w:rsid w:val="00243C9E"/>
    <w:rsid w:val="0024425A"/>
    <w:rsid w:val="00244D52"/>
    <w:rsid w:val="0024521A"/>
    <w:rsid w:val="00246127"/>
    <w:rsid w:val="00247321"/>
    <w:rsid w:val="00247884"/>
    <w:rsid w:val="00247E4F"/>
    <w:rsid w:val="002500E7"/>
    <w:rsid w:val="002506EA"/>
    <w:rsid w:val="00251229"/>
    <w:rsid w:val="002517FA"/>
    <w:rsid w:val="002556C1"/>
    <w:rsid w:val="00255DC9"/>
    <w:rsid w:val="00255F47"/>
    <w:rsid w:val="00256494"/>
    <w:rsid w:val="00262084"/>
    <w:rsid w:val="002628B4"/>
    <w:rsid w:val="00263946"/>
    <w:rsid w:val="00263ECA"/>
    <w:rsid w:val="0026496B"/>
    <w:rsid w:val="00265008"/>
    <w:rsid w:val="0026539D"/>
    <w:rsid w:val="00266973"/>
    <w:rsid w:val="00267B75"/>
    <w:rsid w:val="00267C03"/>
    <w:rsid w:val="00270E79"/>
    <w:rsid w:val="00273181"/>
    <w:rsid w:val="00273547"/>
    <w:rsid w:val="002735D8"/>
    <w:rsid w:val="00273970"/>
    <w:rsid w:val="00274BE0"/>
    <w:rsid w:val="0027507D"/>
    <w:rsid w:val="00275488"/>
    <w:rsid w:val="00275636"/>
    <w:rsid w:val="00276170"/>
    <w:rsid w:val="002769E4"/>
    <w:rsid w:val="00277361"/>
    <w:rsid w:val="00277F18"/>
    <w:rsid w:val="00280046"/>
    <w:rsid w:val="002808C2"/>
    <w:rsid w:val="00280B6D"/>
    <w:rsid w:val="002816DE"/>
    <w:rsid w:val="00281895"/>
    <w:rsid w:val="00282C00"/>
    <w:rsid w:val="002842C2"/>
    <w:rsid w:val="002848E8"/>
    <w:rsid w:val="00285002"/>
    <w:rsid w:val="0028542B"/>
    <w:rsid w:val="002871C9"/>
    <w:rsid w:val="0028791B"/>
    <w:rsid w:val="002912E5"/>
    <w:rsid w:val="00293B1A"/>
    <w:rsid w:val="00293EF5"/>
    <w:rsid w:val="00296281"/>
    <w:rsid w:val="00296FB0"/>
    <w:rsid w:val="002977C3"/>
    <w:rsid w:val="002A09B2"/>
    <w:rsid w:val="002A18B6"/>
    <w:rsid w:val="002A20BE"/>
    <w:rsid w:val="002A31A6"/>
    <w:rsid w:val="002A398F"/>
    <w:rsid w:val="002A51DC"/>
    <w:rsid w:val="002A57B4"/>
    <w:rsid w:val="002A63D6"/>
    <w:rsid w:val="002A6A43"/>
    <w:rsid w:val="002A6ADA"/>
    <w:rsid w:val="002A77CF"/>
    <w:rsid w:val="002B07CB"/>
    <w:rsid w:val="002B0F93"/>
    <w:rsid w:val="002B271D"/>
    <w:rsid w:val="002B274E"/>
    <w:rsid w:val="002B30A8"/>
    <w:rsid w:val="002B3E52"/>
    <w:rsid w:val="002C0317"/>
    <w:rsid w:val="002C1A9F"/>
    <w:rsid w:val="002C1F7C"/>
    <w:rsid w:val="002C3B37"/>
    <w:rsid w:val="002C4DE8"/>
    <w:rsid w:val="002C547D"/>
    <w:rsid w:val="002C607F"/>
    <w:rsid w:val="002C6F2C"/>
    <w:rsid w:val="002C7F8D"/>
    <w:rsid w:val="002D0673"/>
    <w:rsid w:val="002D0A8D"/>
    <w:rsid w:val="002D0B99"/>
    <w:rsid w:val="002D24AE"/>
    <w:rsid w:val="002D3C6B"/>
    <w:rsid w:val="002D3F7C"/>
    <w:rsid w:val="002D5AC3"/>
    <w:rsid w:val="002D706B"/>
    <w:rsid w:val="002E0999"/>
    <w:rsid w:val="002E1BA5"/>
    <w:rsid w:val="002E4AAE"/>
    <w:rsid w:val="002E5A36"/>
    <w:rsid w:val="002E7F6B"/>
    <w:rsid w:val="002F0F55"/>
    <w:rsid w:val="002F140F"/>
    <w:rsid w:val="002F23A4"/>
    <w:rsid w:val="002F24DB"/>
    <w:rsid w:val="002F30A4"/>
    <w:rsid w:val="002F3ECC"/>
    <w:rsid w:val="002F4C62"/>
    <w:rsid w:val="002F54D3"/>
    <w:rsid w:val="002F5548"/>
    <w:rsid w:val="002F5C10"/>
    <w:rsid w:val="002F65C2"/>
    <w:rsid w:val="00300124"/>
    <w:rsid w:val="00300CA0"/>
    <w:rsid w:val="003018A3"/>
    <w:rsid w:val="003020BC"/>
    <w:rsid w:val="00302EBB"/>
    <w:rsid w:val="0030349C"/>
    <w:rsid w:val="003035C2"/>
    <w:rsid w:val="003044CF"/>
    <w:rsid w:val="00304BAC"/>
    <w:rsid w:val="00304D7F"/>
    <w:rsid w:val="0030539C"/>
    <w:rsid w:val="003054B0"/>
    <w:rsid w:val="0030570A"/>
    <w:rsid w:val="003066EF"/>
    <w:rsid w:val="0030688F"/>
    <w:rsid w:val="003109D7"/>
    <w:rsid w:val="00310C07"/>
    <w:rsid w:val="00311B3A"/>
    <w:rsid w:val="00311FBD"/>
    <w:rsid w:val="0031392C"/>
    <w:rsid w:val="003179F8"/>
    <w:rsid w:val="00317C08"/>
    <w:rsid w:val="0032052D"/>
    <w:rsid w:val="003225E3"/>
    <w:rsid w:val="00323914"/>
    <w:rsid w:val="00324A2F"/>
    <w:rsid w:val="00325CE2"/>
    <w:rsid w:val="00327EC4"/>
    <w:rsid w:val="003305F0"/>
    <w:rsid w:val="00331D34"/>
    <w:rsid w:val="00332EBF"/>
    <w:rsid w:val="003336F4"/>
    <w:rsid w:val="0033591B"/>
    <w:rsid w:val="00336DFE"/>
    <w:rsid w:val="00340248"/>
    <w:rsid w:val="003411C2"/>
    <w:rsid w:val="00342032"/>
    <w:rsid w:val="00342CA6"/>
    <w:rsid w:val="00343793"/>
    <w:rsid w:val="0034452F"/>
    <w:rsid w:val="00345331"/>
    <w:rsid w:val="0034674C"/>
    <w:rsid w:val="0034677A"/>
    <w:rsid w:val="003506BB"/>
    <w:rsid w:val="00350958"/>
    <w:rsid w:val="00352C45"/>
    <w:rsid w:val="00352D6D"/>
    <w:rsid w:val="00352DC2"/>
    <w:rsid w:val="00354772"/>
    <w:rsid w:val="00354782"/>
    <w:rsid w:val="00355E15"/>
    <w:rsid w:val="0035600E"/>
    <w:rsid w:val="00356B6A"/>
    <w:rsid w:val="003574EF"/>
    <w:rsid w:val="00361CD2"/>
    <w:rsid w:val="00363BAE"/>
    <w:rsid w:val="0036480C"/>
    <w:rsid w:val="003653EE"/>
    <w:rsid w:val="0036572F"/>
    <w:rsid w:val="003658F6"/>
    <w:rsid w:val="00367C42"/>
    <w:rsid w:val="00370088"/>
    <w:rsid w:val="00372E2F"/>
    <w:rsid w:val="00373C5D"/>
    <w:rsid w:val="003741FE"/>
    <w:rsid w:val="003743A8"/>
    <w:rsid w:val="00374FD7"/>
    <w:rsid w:val="00375173"/>
    <w:rsid w:val="00375782"/>
    <w:rsid w:val="00380A80"/>
    <w:rsid w:val="00380E2D"/>
    <w:rsid w:val="0038135C"/>
    <w:rsid w:val="00381F8E"/>
    <w:rsid w:val="003823EC"/>
    <w:rsid w:val="003825FC"/>
    <w:rsid w:val="003827BD"/>
    <w:rsid w:val="0038337F"/>
    <w:rsid w:val="00384CFA"/>
    <w:rsid w:val="00385258"/>
    <w:rsid w:val="00385698"/>
    <w:rsid w:val="00387449"/>
    <w:rsid w:val="00387BE1"/>
    <w:rsid w:val="003906FA"/>
    <w:rsid w:val="003949FF"/>
    <w:rsid w:val="00395628"/>
    <w:rsid w:val="00395839"/>
    <w:rsid w:val="003966A4"/>
    <w:rsid w:val="003A0269"/>
    <w:rsid w:val="003A22F2"/>
    <w:rsid w:val="003A3B3E"/>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1F52"/>
    <w:rsid w:val="003C2093"/>
    <w:rsid w:val="003C58D8"/>
    <w:rsid w:val="003C61E9"/>
    <w:rsid w:val="003C7561"/>
    <w:rsid w:val="003C7928"/>
    <w:rsid w:val="003C7C54"/>
    <w:rsid w:val="003D063B"/>
    <w:rsid w:val="003D0945"/>
    <w:rsid w:val="003D1E0B"/>
    <w:rsid w:val="003D1EFA"/>
    <w:rsid w:val="003D2EF6"/>
    <w:rsid w:val="003D3DA9"/>
    <w:rsid w:val="003D41C8"/>
    <w:rsid w:val="003D59A5"/>
    <w:rsid w:val="003D59E0"/>
    <w:rsid w:val="003D7647"/>
    <w:rsid w:val="003E10C1"/>
    <w:rsid w:val="003E183C"/>
    <w:rsid w:val="003E1BEF"/>
    <w:rsid w:val="003E3225"/>
    <w:rsid w:val="003E5F22"/>
    <w:rsid w:val="003E6A17"/>
    <w:rsid w:val="003E7619"/>
    <w:rsid w:val="003E794B"/>
    <w:rsid w:val="003E7A69"/>
    <w:rsid w:val="003F0D93"/>
    <w:rsid w:val="003F216D"/>
    <w:rsid w:val="003F360C"/>
    <w:rsid w:val="003F4C7C"/>
    <w:rsid w:val="003F4E03"/>
    <w:rsid w:val="003F60F1"/>
    <w:rsid w:val="003F6412"/>
    <w:rsid w:val="003F6ED2"/>
    <w:rsid w:val="003F7EBD"/>
    <w:rsid w:val="00400138"/>
    <w:rsid w:val="00400873"/>
    <w:rsid w:val="004011D2"/>
    <w:rsid w:val="004055F1"/>
    <w:rsid w:val="00405B38"/>
    <w:rsid w:val="00407BD1"/>
    <w:rsid w:val="00407EEE"/>
    <w:rsid w:val="0041014B"/>
    <w:rsid w:val="00410A41"/>
    <w:rsid w:val="0041267C"/>
    <w:rsid w:val="00412855"/>
    <w:rsid w:val="0041299D"/>
    <w:rsid w:val="00414098"/>
    <w:rsid w:val="00414316"/>
    <w:rsid w:val="00414C51"/>
    <w:rsid w:val="004151B4"/>
    <w:rsid w:val="004166D8"/>
    <w:rsid w:val="00421886"/>
    <w:rsid w:val="00421DB2"/>
    <w:rsid w:val="00421DBE"/>
    <w:rsid w:val="004223E1"/>
    <w:rsid w:val="004226C7"/>
    <w:rsid w:val="00423970"/>
    <w:rsid w:val="00424449"/>
    <w:rsid w:val="00426010"/>
    <w:rsid w:val="00426B96"/>
    <w:rsid w:val="00427AF2"/>
    <w:rsid w:val="0043002B"/>
    <w:rsid w:val="00434AAE"/>
    <w:rsid w:val="00434DEA"/>
    <w:rsid w:val="00436153"/>
    <w:rsid w:val="004369D4"/>
    <w:rsid w:val="00436D27"/>
    <w:rsid w:val="00440AA3"/>
    <w:rsid w:val="004416B7"/>
    <w:rsid w:val="00441BA6"/>
    <w:rsid w:val="004447F8"/>
    <w:rsid w:val="004454EF"/>
    <w:rsid w:val="00445BE7"/>
    <w:rsid w:val="004463F2"/>
    <w:rsid w:val="00446B22"/>
    <w:rsid w:val="004472C3"/>
    <w:rsid w:val="00447A8B"/>
    <w:rsid w:val="0045026C"/>
    <w:rsid w:val="00453075"/>
    <w:rsid w:val="00453AF0"/>
    <w:rsid w:val="00453CED"/>
    <w:rsid w:val="004568A8"/>
    <w:rsid w:val="00457347"/>
    <w:rsid w:val="00457459"/>
    <w:rsid w:val="00460414"/>
    <w:rsid w:val="004607C3"/>
    <w:rsid w:val="00460838"/>
    <w:rsid w:val="004611AD"/>
    <w:rsid w:val="00463598"/>
    <w:rsid w:val="00463956"/>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87996"/>
    <w:rsid w:val="004917CD"/>
    <w:rsid w:val="0049216E"/>
    <w:rsid w:val="00492A51"/>
    <w:rsid w:val="00492CA0"/>
    <w:rsid w:val="00492EF4"/>
    <w:rsid w:val="00493168"/>
    <w:rsid w:val="0049373E"/>
    <w:rsid w:val="00493BD2"/>
    <w:rsid w:val="00494435"/>
    <w:rsid w:val="00494AEA"/>
    <w:rsid w:val="00495459"/>
    <w:rsid w:val="0049606A"/>
    <w:rsid w:val="0049659C"/>
    <w:rsid w:val="004968D2"/>
    <w:rsid w:val="00497C79"/>
    <w:rsid w:val="004A0AAD"/>
    <w:rsid w:val="004A2717"/>
    <w:rsid w:val="004A2DF6"/>
    <w:rsid w:val="004A330D"/>
    <w:rsid w:val="004A4E12"/>
    <w:rsid w:val="004A51B2"/>
    <w:rsid w:val="004A5E4E"/>
    <w:rsid w:val="004A6A4D"/>
    <w:rsid w:val="004B00FD"/>
    <w:rsid w:val="004B19C9"/>
    <w:rsid w:val="004B1AF0"/>
    <w:rsid w:val="004B3224"/>
    <w:rsid w:val="004B3E69"/>
    <w:rsid w:val="004B445F"/>
    <w:rsid w:val="004B4B2C"/>
    <w:rsid w:val="004B598A"/>
    <w:rsid w:val="004B5BF2"/>
    <w:rsid w:val="004C04FC"/>
    <w:rsid w:val="004C0A14"/>
    <w:rsid w:val="004C1307"/>
    <w:rsid w:val="004C180A"/>
    <w:rsid w:val="004C3243"/>
    <w:rsid w:val="004C3602"/>
    <w:rsid w:val="004C48F0"/>
    <w:rsid w:val="004C5137"/>
    <w:rsid w:val="004C6542"/>
    <w:rsid w:val="004D0B16"/>
    <w:rsid w:val="004D0C03"/>
    <w:rsid w:val="004D0FD1"/>
    <w:rsid w:val="004D1790"/>
    <w:rsid w:val="004D1F26"/>
    <w:rsid w:val="004D2528"/>
    <w:rsid w:val="004D28EA"/>
    <w:rsid w:val="004D3099"/>
    <w:rsid w:val="004D38A6"/>
    <w:rsid w:val="004D39FE"/>
    <w:rsid w:val="004D3A64"/>
    <w:rsid w:val="004D408D"/>
    <w:rsid w:val="004D46CB"/>
    <w:rsid w:val="004D4E05"/>
    <w:rsid w:val="004D5644"/>
    <w:rsid w:val="004D7389"/>
    <w:rsid w:val="004D7421"/>
    <w:rsid w:val="004E484D"/>
    <w:rsid w:val="004E486F"/>
    <w:rsid w:val="004E645E"/>
    <w:rsid w:val="004E6761"/>
    <w:rsid w:val="004E75CF"/>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4518"/>
    <w:rsid w:val="00515427"/>
    <w:rsid w:val="00516300"/>
    <w:rsid w:val="00516A5B"/>
    <w:rsid w:val="00516F8D"/>
    <w:rsid w:val="00517D26"/>
    <w:rsid w:val="00520A0D"/>
    <w:rsid w:val="00520B2D"/>
    <w:rsid w:val="00522632"/>
    <w:rsid w:val="00523030"/>
    <w:rsid w:val="00524463"/>
    <w:rsid w:val="005253A2"/>
    <w:rsid w:val="00525620"/>
    <w:rsid w:val="00525AB8"/>
    <w:rsid w:val="00527ED3"/>
    <w:rsid w:val="005311D5"/>
    <w:rsid w:val="00531FB3"/>
    <w:rsid w:val="00532A82"/>
    <w:rsid w:val="00532CA9"/>
    <w:rsid w:val="00532F29"/>
    <w:rsid w:val="00533254"/>
    <w:rsid w:val="0053395D"/>
    <w:rsid w:val="0053413A"/>
    <w:rsid w:val="00534146"/>
    <w:rsid w:val="0053541D"/>
    <w:rsid w:val="00535BF7"/>
    <w:rsid w:val="005374CA"/>
    <w:rsid w:val="005410CB"/>
    <w:rsid w:val="00541901"/>
    <w:rsid w:val="00541945"/>
    <w:rsid w:val="00544133"/>
    <w:rsid w:val="005444AC"/>
    <w:rsid w:val="00544513"/>
    <w:rsid w:val="0054467D"/>
    <w:rsid w:val="00546886"/>
    <w:rsid w:val="005469C4"/>
    <w:rsid w:val="00547F78"/>
    <w:rsid w:val="00550136"/>
    <w:rsid w:val="005505A9"/>
    <w:rsid w:val="00550949"/>
    <w:rsid w:val="00550BF4"/>
    <w:rsid w:val="00553654"/>
    <w:rsid w:val="00553F1D"/>
    <w:rsid w:val="0055501B"/>
    <w:rsid w:val="00555AB6"/>
    <w:rsid w:val="0056014B"/>
    <w:rsid w:val="00560349"/>
    <w:rsid w:val="0056075F"/>
    <w:rsid w:val="00560B57"/>
    <w:rsid w:val="00561407"/>
    <w:rsid w:val="00562135"/>
    <w:rsid w:val="005628ED"/>
    <w:rsid w:val="005630C9"/>
    <w:rsid w:val="00563240"/>
    <w:rsid w:val="005637E0"/>
    <w:rsid w:val="00566416"/>
    <w:rsid w:val="00566566"/>
    <w:rsid w:val="0057081A"/>
    <w:rsid w:val="00570E6B"/>
    <w:rsid w:val="00571322"/>
    <w:rsid w:val="0057148D"/>
    <w:rsid w:val="00571A6D"/>
    <w:rsid w:val="00573B44"/>
    <w:rsid w:val="00573DFD"/>
    <w:rsid w:val="00575725"/>
    <w:rsid w:val="00575A46"/>
    <w:rsid w:val="005774B5"/>
    <w:rsid w:val="00581791"/>
    <w:rsid w:val="00581B38"/>
    <w:rsid w:val="00585F0B"/>
    <w:rsid w:val="00586787"/>
    <w:rsid w:val="00587B7E"/>
    <w:rsid w:val="00590759"/>
    <w:rsid w:val="005909E6"/>
    <w:rsid w:val="00591493"/>
    <w:rsid w:val="00592E90"/>
    <w:rsid w:val="0059326F"/>
    <w:rsid w:val="005943C3"/>
    <w:rsid w:val="00596569"/>
    <w:rsid w:val="0059660B"/>
    <w:rsid w:val="00596A81"/>
    <w:rsid w:val="005A0EB9"/>
    <w:rsid w:val="005A3404"/>
    <w:rsid w:val="005A48EB"/>
    <w:rsid w:val="005A53F6"/>
    <w:rsid w:val="005A6F6C"/>
    <w:rsid w:val="005A732E"/>
    <w:rsid w:val="005B0720"/>
    <w:rsid w:val="005B1A74"/>
    <w:rsid w:val="005B2074"/>
    <w:rsid w:val="005B2427"/>
    <w:rsid w:val="005B2D76"/>
    <w:rsid w:val="005B33DF"/>
    <w:rsid w:val="005B5E53"/>
    <w:rsid w:val="005B7080"/>
    <w:rsid w:val="005B729A"/>
    <w:rsid w:val="005B7341"/>
    <w:rsid w:val="005B7B3C"/>
    <w:rsid w:val="005C0188"/>
    <w:rsid w:val="005C157C"/>
    <w:rsid w:val="005C1A0E"/>
    <w:rsid w:val="005C2992"/>
    <w:rsid w:val="005C33AD"/>
    <w:rsid w:val="005C3F69"/>
    <w:rsid w:val="005C6A07"/>
    <w:rsid w:val="005C6C09"/>
    <w:rsid w:val="005C7808"/>
    <w:rsid w:val="005D0D2A"/>
    <w:rsid w:val="005D25EE"/>
    <w:rsid w:val="005D7701"/>
    <w:rsid w:val="005D7D9C"/>
    <w:rsid w:val="005E0D66"/>
    <w:rsid w:val="005E1371"/>
    <w:rsid w:val="005E1417"/>
    <w:rsid w:val="005E1BAA"/>
    <w:rsid w:val="005E1FD8"/>
    <w:rsid w:val="005E2701"/>
    <w:rsid w:val="005E30A9"/>
    <w:rsid w:val="005E42DC"/>
    <w:rsid w:val="005E447F"/>
    <w:rsid w:val="005E4B3B"/>
    <w:rsid w:val="005E66F2"/>
    <w:rsid w:val="005E69F1"/>
    <w:rsid w:val="005E739F"/>
    <w:rsid w:val="005E7520"/>
    <w:rsid w:val="005F0CAB"/>
    <w:rsid w:val="005F0D66"/>
    <w:rsid w:val="005F0E61"/>
    <w:rsid w:val="005F1861"/>
    <w:rsid w:val="005F2B9A"/>
    <w:rsid w:val="005F2BD7"/>
    <w:rsid w:val="005F3181"/>
    <w:rsid w:val="005F4163"/>
    <w:rsid w:val="005F575B"/>
    <w:rsid w:val="005F7575"/>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8D"/>
    <w:rsid w:val="006124B3"/>
    <w:rsid w:val="0061368D"/>
    <w:rsid w:val="00613AF8"/>
    <w:rsid w:val="00613BB9"/>
    <w:rsid w:val="00614B61"/>
    <w:rsid w:val="00614BEA"/>
    <w:rsid w:val="0061556D"/>
    <w:rsid w:val="00616317"/>
    <w:rsid w:val="00616D44"/>
    <w:rsid w:val="00616F6D"/>
    <w:rsid w:val="00617335"/>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457"/>
    <w:rsid w:val="00634607"/>
    <w:rsid w:val="00634CE0"/>
    <w:rsid w:val="00635FEF"/>
    <w:rsid w:val="00636808"/>
    <w:rsid w:val="00636CFC"/>
    <w:rsid w:val="006373B9"/>
    <w:rsid w:val="00640710"/>
    <w:rsid w:val="006416E7"/>
    <w:rsid w:val="006432A5"/>
    <w:rsid w:val="00644070"/>
    <w:rsid w:val="00646026"/>
    <w:rsid w:val="00646477"/>
    <w:rsid w:val="006469B1"/>
    <w:rsid w:val="00650384"/>
    <w:rsid w:val="00652DE7"/>
    <w:rsid w:val="00654E77"/>
    <w:rsid w:val="0065606C"/>
    <w:rsid w:val="00656628"/>
    <w:rsid w:val="006609AE"/>
    <w:rsid w:val="006617C2"/>
    <w:rsid w:val="00661C51"/>
    <w:rsid w:val="006620D5"/>
    <w:rsid w:val="00662A9F"/>
    <w:rsid w:val="00663485"/>
    <w:rsid w:val="006644E5"/>
    <w:rsid w:val="006648EB"/>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0E4"/>
    <w:rsid w:val="006834D0"/>
    <w:rsid w:val="00684532"/>
    <w:rsid w:val="00685F82"/>
    <w:rsid w:val="00687D68"/>
    <w:rsid w:val="006906EF"/>
    <w:rsid w:val="00690B82"/>
    <w:rsid w:val="0069139D"/>
    <w:rsid w:val="00695D8D"/>
    <w:rsid w:val="00696195"/>
    <w:rsid w:val="00696B7F"/>
    <w:rsid w:val="0069737B"/>
    <w:rsid w:val="0069750C"/>
    <w:rsid w:val="006A00AF"/>
    <w:rsid w:val="006A0495"/>
    <w:rsid w:val="006A0780"/>
    <w:rsid w:val="006A0950"/>
    <w:rsid w:val="006A0B45"/>
    <w:rsid w:val="006A2849"/>
    <w:rsid w:val="006A30FA"/>
    <w:rsid w:val="006A3295"/>
    <w:rsid w:val="006A3DFE"/>
    <w:rsid w:val="006A5AE4"/>
    <w:rsid w:val="006A70F0"/>
    <w:rsid w:val="006A7278"/>
    <w:rsid w:val="006A76DE"/>
    <w:rsid w:val="006A799F"/>
    <w:rsid w:val="006B03D2"/>
    <w:rsid w:val="006B0BCF"/>
    <w:rsid w:val="006B17CB"/>
    <w:rsid w:val="006B1F4B"/>
    <w:rsid w:val="006B201B"/>
    <w:rsid w:val="006B2EB5"/>
    <w:rsid w:val="006B43BB"/>
    <w:rsid w:val="006B4F22"/>
    <w:rsid w:val="006B59B6"/>
    <w:rsid w:val="006B5A2F"/>
    <w:rsid w:val="006B7742"/>
    <w:rsid w:val="006B7E51"/>
    <w:rsid w:val="006C236D"/>
    <w:rsid w:val="006C3531"/>
    <w:rsid w:val="006C5446"/>
    <w:rsid w:val="006C5828"/>
    <w:rsid w:val="006C6482"/>
    <w:rsid w:val="006C65C2"/>
    <w:rsid w:val="006C75C7"/>
    <w:rsid w:val="006C7D48"/>
    <w:rsid w:val="006D0F80"/>
    <w:rsid w:val="006D11FE"/>
    <w:rsid w:val="006D13F5"/>
    <w:rsid w:val="006D13F8"/>
    <w:rsid w:val="006D15BA"/>
    <w:rsid w:val="006D16E4"/>
    <w:rsid w:val="006D19BC"/>
    <w:rsid w:val="006D22B8"/>
    <w:rsid w:val="006D410F"/>
    <w:rsid w:val="006D66F4"/>
    <w:rsid w:val="006D7210"/>
    <w:rsid w:val="006E06C0"/>
    <w:rsid w:val="006E230F"/>
    <w:rsid w:val="006E32DB"/>
    <w:rsid w:val="006E38B9"/>
    <w:rsid w:val="006E43A2"/>
    <w:rsid w:val="006E5842"/>
    <w:rsid w:val="006E7D5D"/>
    <w:rsid w:val="006F0B9C"/>
    <w:rsid w:val="006F0D0A"/>
    <w:rsid w:val="006F2EB0"/>
    <w:rsid w:val="006F34DE"/>
    <w:rsid w:val="006F7226"/>
    <w:rsid w:val="006F7AB0"/>
    <w:rsid w:val="00700BFB"/>
    <w:rsid w:val="00701C14"/>
    <w:rsid w:val="007021A9"/>
    <w:rsid w:val="00703C3A"/>
    <w:rsid w:val="00703FD6"/>
    <w:rsid w:val="0070439D"/>
    <w:rsid w:val="00704623"/>
    <w:rsid w:val="007051C7"/>
    <w:rsid w:val="00706982"/>
    <w:rsid w:val="00706B3A"/>
    <w:rsid w:val="00707598"/>
    <w:rsid w:val="007100DB"/>
    <w:rsid w:val="00710285"/>
    <w:rsid w:val="007107C6"/>
    <w:rsid w:val="007116E6"/>
    <w:rsid w:val="00711CFB"/>
    <w:rsid w:val="00712EF0"/>
    <w:rsid w:val="007132E7"/>
    <w:rsid w:val="00714276"/>
    <w:rsid w:val="007150CD"/>
    <w:rsid w:val="0071650C"/>
    <w:rsid w:val="00716D73"/>
    <w:rsid w:val="00721317"/>
    <w:rsid w:val="007218A2"/>
    <w:rsid w:val="00721AFA"/>
    <w:rsid w:val="007238D5"/>
    <w:rsid w:val="00723B29"/>
    <w:rsid w:val="00726076"/>
    <w:rsid w:val="00727269"/>
    <w:rsid w:val="007275F8"/>
    <w:rsid w:val="00727962"/>
    <w:rsid w:val="00727BC4"/>
    <w:rsid w:val="00727BFE"/>
    <w:rsid w:val="00730636"/>
    <w:rsid w:val="007306FC"/>
    <w:rsid w:val="00730EEF"/>
    <w:rsid w:val="0073257C"/>
    <w:rsid w:val="007333EB"/>
    <w:rsid w:val="007349E8"/>
    <w:rsid w:val="00735EAD"/>
    <w:rsid w:val="007365B8"/>
    <w:rsid w:val="00736CC6"/>
    <w:rsid w:val="00736D87"/>
    <w:rsid w:val="007374F6"/>
    <w:rsid w:val="00737C7F"/>
    <w:rsid w:val="00737CB1"/>
    <w:rsid w:val="00740C3E"/>
    <w:rsid w:val="00740DA3"/>
    <w:rsid w:val="0074209F"/>
    <w:rsid w:val="0074255B"/>
    <w:rsid w:val="007431B7"/>
    <w:rsid w:val="00744032"/>
    <w:rsid w:val="007462FA"/>
    <w:rsid w:val="007474E1"/>
    <w:rsid w:val="00747804"/>
    <w:rsid w:val="00747907"/>
    <w:rsid w:val="007522AE"/>
    <w:rsid w:val="007537A3"/>
    <w:rsid w:val="00753B98"/>
    <w:rsid w:val="0075419E"/>
    <w:rsid w:val="007554FA"/>
    <w:rsid w:val="00755A5D"/>
    <w:rsid w:val="00756FD6"/>
    <w:rsid w:val="007571D2"/>
    <w:rsid w:val="00762DA6"/>
    <w:rsid w:val="007632BA"/>
    <w:rsid w:val="00764923"/>
    <w:rsid w:val="00765DD7"/>
    <w:rsid w:val="0077014F"/>
    <w:rsid w:val="00770312"/>
    <w:rsid w:val="007707C0"/>
    <w:rsid w:val="00770E3A"/>
    <w:rsid w:val="007721F5"/>
    <w:rsid w:val="00772D68"/>
    <w:rsid w:val="00774A4B"/>
    <w:rsid w:val="0077591D"/>
    <w:rsid w:val="00776526"/>
    <w:rsid w:val="007766B9"/>
    <w:rsid w:val="007801B9"/>
    <w:rsid w:val="0078061D"/>
    <w:rsid w:val="007819BB"/>
    <w:rsid w:val="00781AF8"/>
    <w:rsid w:val="00782301"/>
    <w:rsid w:val="00783197"/>
    <w:rsid w:val="00783925"/>
    <w:rsid w:val="007842B2"/>
    <w:rsid w:val="007853CA"/>
    <w:rsid w:val="00786912"/>
    <w:rsid w:val="00786CD3"/>
    <w:rsid w:val="00786CF4"/>
    <w:rsid w:val="00786E0B"/>
    <w:rsid w:val="00787E47"/>
    <w:rsid w:val="00787F31"/>
    <w:rsid w:val="00790301"/>
    <w:rsid w:val="00791C53"/>
    <w:rsid w:val="007924EF"/>
    <w:rsid w:val="007925BE"/>
    <w:rsid w:val="00793ADF"/>
    <w:rsid w:val="00793EA0"/>
    <w:rsid w:val="00793ECA"/>
    <w:rsid w:val="00794E01"/>
    <w:rsid w:val="00796145"/>
    <w:rsid w:val="00796FB3"/>
    <w:rsid w:val="007977A5"/>
    <w:rsid w:val="00797849"/>
    <w:rsid w:val="007A0B2F"/>
    <w:rsid w:val="007A1357"/>
    <w:rsid w:val="007A198B"/>
    <w:rsid w:val="007A1F68"/>
    <w:rsid w:val="007A23B5"/>
    <w:rsid w:val="007A29EC"/>
    <w:rsid w:val="007A2CC8"/>
    <w:rsid w:val="007A3BE3"/>
    <w:rsid w:val="007A415D"/>
    <w:rsid w:val="007A4915"/>
    <w:rsid w:val="007B09F9"/>
    <w:rsid w:val="007B0CB5"/>
    <w:rsid w:val="007B17F8"/>
    <w:rsid w:val="007B2A3A"/>
    <w:rsid w:val="007B3937"/>
    <w:rsid w:val="007B3C00"/>
    <w:rsid w:val="007C12AF"/>
    <w:rsid w:val="007C2A0A"/>
    <w:rsid w:val="007C31AF"/>
    <w:rsid w:val="007C33BF"/>
    <w:rsid w:val="007C356F"/>
    <w:rsid w:val="007C369C"/>
    <w:rsid w:val="007C489B"/>
    <w:rsid w:val="007C4B99"/>
    <w:rsid w:val="007C5342"/>
    <w:rsid w:val="007C5B87"/>
    <w:rsid w:val="007C5C75"/>
    <w:rsid w:val="007C73A6"/>
    <w:rsid w:val="007C7554"/>
    <w:rsid w:val="007C7834"/>
    <w:rsid w:val="007C7918"/>
    <w:rsid w:val="007D205A"/>
    <w:rsid w:val="007D5BCD"/>
    <w:rsid w:val="007D67FF"/>
    <w:rsid w:val="007D6890"/>
    <w:rsid w:val="007E0E71"/>
    <w:rsid w:val="007E1C82"/>
    <w:rsid w:val="007E1CAC"/>
    <w:rsid w:val="007E1D38"/>
    <w:rsid w:val="007E2972"/>
    <w:rsid w:val="007E482B"/>
    <w:rsid w:val="007E7526"/>
    <w:rsid w:val="007E7DC1"/>
    <w:rsid w:val="007F1E33"/>
    <w:rsid w:val="007F2162"/>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58B8"/>
    <w:rsid w:val="00805E9B"/>
    <w:rsid w:val="008070FF"/>
    <w:rsid w:val="008107DB"/>
    <w:rsid w:val="008120B6"/>
    <w:rsid w:val="008128A7"/>
    <w:rsid w:val="00812920"/>
    <w:rsid w:val="00812F69"/>
    <w:rsid w:val="008144DF"/>
    <w:rsid w:val="008147CE"/>
    <w:rsid w:val="00815478"/>
    <w:rsid w:val="00817423"/>
    <w:rsid w:val="0082056C"/>
    <w:rsid w:val="00820819"/>
    <w:rsid w:val="008208E5"/>
    <w:rsid w:val="00820E95"/>
    <w:rsid w:val="0082104F"/>
    <w:rsid w:val="00821191"/>
    <w:rsid w:val="00821445"/>
    <w:rsid w:val="00821D94"/>
    <w:rsid w:val="00826F7D"/>
    <w:rsid w:val="00827B46"/>
    <w:rsid w:val="0083009A"/>
    <w:rsid w:val="00830949"/>
    <w:rsid w:val="00831B5C"/>
    <w:rsid w:val="00831D23"/>
    <w:rsid w:val="008324F1"/>
    <w:rsid w:val="00832831"/>
    <w:rsid w:val="008333E3"/>
    <w:rsid w:val="00833841"/>
    <w:rsid w:val="00834E70"/>
    <w:rsid w:val="00835214"/>
    <w:rsid w:val="00835AFA"/>
    <w:rsid w:val="00836263"/>
    <w:rsid w:val="008366A6"/>
    <w:rsid w:val="008403F7"/>
    <w:rsid w:val="008436EC"/>
    <w:rsid w:val="00843D33"/>
    <w:rsid w:val="00845EAA"/>
    <w:rsid w:val="00846CEF"/>
    <w:rsid w:val="00847B72"/>
    <w:rsid w:val="00850E67"/>
    <w:rsid w:val="008512C3"/>
    <w:rsid w:val="00852D1F"/>
    <w:rsid w:val="00855112"/>
    <w:rsid w:val="00860306"/>
    <w:rsid w:val="00860871"/>
    <w:rsid w:val="008612F0"/>
    <w:rsid w:val="00862F88"/>
    <w:rsid w:val="008638A2"/>
    <w:rsid w:val="00864775"/>
    <w:rsid w:val="0086550A"/>
    <w:rsid w:val="00865B2F"/>
    <w:rsid w:val="00866B6D"/>
    <w:rsid w:val="00870253"/>
    <w:rsid w:val="008703F6"/>
    <w:rsid w:val="00871AB9"/>
    <w:rsid w:val="00872C9F"/>
    <w:rsid w:val="00873411"/>
    <w:rsid w:val="008743A0"/>
    <w:rsid w:val="00874CD3"/>
    <w:rsid w:val="008759DE"/>
    <w:rsid w:val="00877089"/>
    <w:rsid w:val="00877F6A"/>
    <w:rsid w:val="0088273E"/>
    <w:rsid w:val="00883A60"/>
    <w:rsid w:val="00883F0F"/>
    <w:rsid w:val="008845F6"/>
    <w:rsid w:val="0088504D"/>
    <w:rsid w:val="0088577C"/>
    <w:rsid w:val="008861C5"/>
    <w:rsid w:val="008862AB"/>
    <w:rsid w:val="00892B6D"/>
    <w:rsid w:val="0089322E"/>
    <w:rsid w:val="00893D17"/>
    <w:rsid w:val="00893DF8"/>
    <w:rsid w:val="008947A2"/>
    <w:rsid w:val="008962AC"/>
    <w:rsid w:val="008968CC"/>
    <w:rsid w:val="00896CDF"/>
    <w:rsid w:val="008974DB"/>
    <w:rsid w:val="008A1DA2"/>
    <w:rsid w:val="008A3020"/>
    <w:rsid w:val="008A315D"/>
    <w:rsid w:val="008A4020"/>
    <w:rsid w:val="008A4346"/>
    <w:rsid w:val="008A4A45"/>
    <w:rsid w:val="008A5CCB"/>
    <w:rsid w:val="008A5E0D"/>
    <w:rsid w:val="008A63DF"/>
    <w:rsid w:val="008A64FB"/>
    <w:rsid w:val="008A6678"/>
    <w:rsid w:val="008A687B"/>
    <w:rsid w:val="008A7101"/>
    <w:rsid w:val="008A78FF"/>
    <w:rsid w:val="008B016E"/>
    <w:rsid w:val="008B081C"/>
    <w:rsid w:val="008B0D09"/>
    <w:rsid w:val="008B16A1"/>
    <w:rsid w:val="008B1FE0"/>
    <w:rsid w:val="008B240E"/>
    <w:rsid w:val="008B28E3"/>
    <w:rsid w:val="008B3C50"/>
    <w:rsid w:val="008B3E16"/>
    <w:rsid w:val="008B791B"/>
    <w:rsid w:val="008C02A0"/>
    <w:rsid w:val="008C0F60"/>
    <w:rsid w:val="008C41AE"/>
    <w:rsid w:val="008C7458"/>
    <w:rsid w:val="008D1089"/>
    <w:rsid w:val="008D123E"/>
    <w:rsid w:val="008D16B7"/>
    <w:rsid w:val="008D1D1D"/>
    <w:rsid w:val="008D32F6"/>
    <w:rsid w:val="008D5892"/>
    <w:rsid w:val="008D68B3"/>
    <w:rsid w:val="008D6BF3"/>
    <w:rsid w:val="008D7264"/>
    <w:rsid w:val="008E0285"/>
    <w:rsid w:val="008E18CA"/>
    <w:rsid w:val="008E22E5"/>
    <w:rsid w:val="008E2B17"/>
    <w:rsid w:val="008E30E6"/>
    <w:rsid w:val="008E40DA"/>
    <w:rsid w:val="008E4215"/>
    <w:rsid w:val="008E5067"/>
    <w:rsid w:val="008E65A4"/>
    <w:rsid w:val="008F0E2E"/>
    <w:rsid w:val="008F1C28"/>
    <w:rsid w:val="008F49E2"/>
    <w:rsid w:val="008F6F63"/>
    <w:rsid w:val="008F7F90"/>
    <w:rsid w:val="0090066A"/>
    <w:rsid w:val="00900D75"/>
    <w:rsid w:val="00900FD8"/>
    <w:rsid w:val="0090118F"/>
    <w:rsid w:val="00901489"/>
    <w:rsid w:val="00903353"/>
    <w:rsid w:val="00903A91"/>
    <w:rsid w:val="009046D8"/>
    <w:rsid w:val="00904E8A"/>
    <w:rsid w:val="0090784E"/>
    <w:rsid w:val="00907876"/>
    <w:rsid w:val="00907A35"/>
    <w:rsid w:val="009122C0"/>
    <w:rsid w:val="009140F3"/>
    <w:rsid w:val="0091504C"/>
    <w:rsid w:val="00915FF9"/>
    <w:rsid w:val="00916C72"/>
    <w:rsid w:val="009176A5"/>
    <w:rsid w:val="00917C14"/>
    <w:rsid w:val="00917F72"/>
    <w:rsid w:val="009205A1"/>
    <w:rsid w:val="00920676"/>
    <w:rsid w:val="00920899"/>
    <w:rsid w:val="009212B4"/>
    <w:rsid w:val="00922B6D"/>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87"/>
    <w:rsid w:val="009357AA"/>
    <w:rsid w:val="00936E90"/>
    <w:rsid w:val="00937316"/>
    <w:rsid w:val="00941771"/>
    <w:rsid w:val="00941966"/>
    <w:rsid w:val="00941E41"/>
    <w:rsid w:val="00942A0B"/>
    <w:rsid w:val="009430D5"/>
    <w:rsid w:val="00943675"/>
    <w:rsid w:val="00943C0D"/>
    <w:rsid w:val="009440A6"/>
    <w:rsid w:val="009442CC"/>
    <w:rsid w:val="00944AF3"/>
    <w:rsid w:val="00944B37"/>
    <w:rsid w:val="009458F8"/>
    <w:rsid w:val="00945997"/>
    <w:rsid w:val="00946E81"/>
    <w:rsid w:val="00947D8F"/>
    <w:rsid w:val="009505BC"/>
    <w:rsid w:val="00951880"/>
    <w:rsid w:val="009540B2"/>
    <w:rsid w:val="0095523A"/>
    <w:rsid w:val="009565F7"/>
    <w:rsid w:val="009577FB"/>
    <w:rsid w:val="00960216"/>
    <w:rsid w:val="00960257"/>
    <w:rsid w:val="009603FE"/>
    <w:rsid w:val="00961795"/>
    <w:rsid w:val="00962378"/>
    <w:rsid w:val="00962CB4"/>
    <w:rsid w:val="00963201"/>
    <w:rsid w:val="00963D0F"/>
    <w:rsid w:val="00963DEF"/>
    <w:rsid w:val="00964107"/>
    <w:rsid w:val="00964591"/>
    <w:rsid w:val="0096551F"/>
    <w:rsid w:val="0096591F"/>
    <w:rsid w:val="0096693D"/>
    <w:rsid w:val="0097126D"/>
    <w:rsid w:val="00971644"/>
    <w:rsid w:val="009732CC"/>
    <w:rsid w:val="0097335B"/>
    <w:rsid w:val="00973A50"/>
    <w:rsid w:val="00974409"/>
    <w:rsid w:val="00974692"/>
    <w:rsid w:val="00974A07"/>
    <w:rsid w:val="00975573"/>
    <w:rsid w:val="00975F28"/>
    <w:rsid w:val="009770E2"/>
    <w:rsid w:val="0097735E"/>
    <w:rsid w:val="00981266"/>
    <w:rsid w:val="0098194E"/>
    <w:rsid w:val="0098288F"/>
    <w:rsid w:val="009832FC"/>
    <w:rsid w:val="00984AFC"/>
    <w:rsid w:val="00985023"/>
    <w:rsid w:val="00986761"/>
    <w:rsid w:val="00987456"/>
    <w:rsid w:val="009907B1"/>
    <w:rsid w:val="00991B5D"/>
    <w:rsid w:val="00993093"/>
    <w:rsid w:val="009933A4"/>
    <w:rsid w:val="00994BC6"/>
    <w:rsid w:val="009952A4"/>
    <w:rsid w:val="00995CC5"/>
    <w:rsid w:val="00996E52"/>
    <w:rsid w:val="00997D2F"/>
    <w:rsid w:val="00997EB4"/>
    <w:rsid w:val="009A1670"/>
    <w:rsid w:val="009A1CDD"/>
    <w:rsid w:val="009A2077"/>
    <w:rsid w:val="009A256B"/>
    <w:rsid w:val="009A3C5C"/>
    <w:rsid w:val="009A4828"/>
    <w:rsid w:val="009A486D"/>
    <w:rsid w:val="009A4E50"/>
    <w:rsid w:val="009A58D9"/>
    <w:rsid w:val="009A7F27"/>
    <w:rsid w:val="009B0BC3"/>
    <w:rsid w:val="009B16F9"/>
    <w:rsid w:val="009B1AA2"/>
    <w:rsid w:val="009B2E27"/>
    <w:rsid w:val="009B57C8"/>
    <w:rsid w:val="009C01D5"/>
    <w:rsid w:val="009C02FA"/>
    <w:rsid w:val="009C08A1"/>
    <w:rsid w:val="009C0F6A"/>
    <w:rsid w:val="009C1119"/>
    <w:rsid w:val="009C1A8B"/>
    <w:rsid w:val="009C1EAD"/>
    <w:rsid w:val="009C3607"/>
    <w:rsid w:val="009C37F0"/>
    <w:rsid w:val="009C3D7A"/>
    <w:rsid w:val="009C4F5A"/>
    <w:rsid w:val="009C60B7"/>
    <w:rsid w:val="009C6B36"/>
    <w:rsid w:val="009C70B0"/>
    <w:rsid w:val="009D2126"/>
    <w:rsid w:val="009D23A2"/>
    <w:rsid w:val="009D28C8"/>
    <w:rsid w:val="009D30D8"/>
    <w:rsid w:val="009D39E8"/>
    <w:rsid w:val="009D6A68"/>
    <w:rsid w:val="009D7CF9"/>
    <w:rsid w:val="009D7D0A"/>
    <w:rsid w:val="009E013E"/>
    <w:rsid w:val="009E19FE"/>
    <w:rsid w:val="009E29A7"/>
    <w:rsid w:val="009E2F42"/>
    <w:rsid w:val="009E4AB8"/>
    <w:rsid w:val="009E5409"/>
    <w:rsid w:val="009E699C"/>
    <w:rsid w:val="009E731F"/>
    <w:rsid w:val="009E7AC5"/>
    <w:rsid w:val="009F076F"/>
    <w:rsid w:val="009F0A77"/>
    <w:rsid w:val="009F116E"/>
    <w:rsid w:val="009F3A67"/>
    <w:rsid w:val="009F43EF"/>
    <w:rsid w:val="009F4EC8"/>
    <w:rsid w:val="009F509A"/>
    <w:rsid w:val="009F658C"/>
    <w:rsid w:val="009F6C22"/>
    <w:rsid w:val="009F6D84"/>
    <w:rsid w:val="009F6F02"/>
    <w:rsid w:val="009F7966"/>
    <w:rsid w:val="009F7DFE"/>
    <w:rsid w:val="00A0071E"/>
    <w:rsid w:val="00A008C4"/>
    <w:rsid w:val="00A01341"/>
    <w:rsid w:val="00A02C8E"/>
    <w:rsid w:val="00A03185"/>
    <w:rsid w:val="00A03361"/>
    <w:rsid w:val="00A0349B"/>
    <w:rsid w:val="00A03B76"/>
    <w:rsid w:val="00A03EDC"/>
    <w:rsid w:val="00A05147"/>
    <w:rsid w:val="00A05B26"/>
    <w:rsid w:val="00A05E4C"/>
    <w:rsid w:val="00A06AF7"/>
    <w:rsid w:val="00A06D58"/>
    <w:rsid w:val="00A104A6"/>
    <w:rsid w:val="00A12A9D"/>
    <w:rsid w:val="00A14670"/>
    <w:rsid w:val="00A1588D"/>
    <w:rsid w:val="00A17446"/>
    <w:rsid w:val="00A2162A"/>
    <w:rsid w:val="00A221CB"/>
    <w:rsid w:val="00A222DA"/>
    <w:rsid w:val="00A223D3"/>
    <w:rsid w:val="00A2305E"/>
    <w:rsid w:val="00A24522"/>
    <w:rsid w:val="00A24F8D"/>
    <w:rsid w:val="00A30538"/>
    <w:rsid w:val="00A305E5"/>
    <w:rsid w:val="00A320B6"/>
    <w:rsid w:val="00A32ABB"/>
    <w:rsid w:val="00A33D1D"/>
    <w:rsid w:val="00A359B8"/>
    <w:rsid w:val="00A361C9"/>
    <w:rsid w:val="00A379FF"/>
    <w:rsid w:val="00A40251"/>
    <w:rsid w:val="00A4235A"/>
    <w:rsid w:val="00A42EC4"/>
    <w:rsid w:val="00A43A60"/>
    <w:rsid w:val="00A448CA"/>
    <w:rsid w:val="00A44DA7"/>
    <w:rsid w:val="00A46AFB"/>
    <w:rsid w:val="00A50397"/>
    <w:rsid w:val="00A50750"/>
    <w:rsid w:val="00A50D1D"/>
    <w:rsid w:val="00A517F4"/>
    <w:rsid w:val="00A518D5"/>
    <w:rsid w:val="00A54E9E"/>
    <w:rsid w:val="00A5683C"/>
    <w:rsid w:val="00A57914"/>
    <w:rsid w:val="00A60395"/>
    <w:rsid w:val="00A6086E"/>
    <w:rsid w:val="00A62733"/>
    <w:rsid w:val="00A62E39"/>
    <w:rsid w:val="00A63A54"/>
    <w:rsid w:val="00A6438F"/>
    <w:rsid w:val="00A64620"/>
    <w:rsid w:val="00A65340"/>
    <w:rsid w:val="00A656CC"/>
    <w:rsid w:val="00A65FEE"/>
    <w:rsid w:val="00A6644B"/>
    <w:rsid w:val="00A66D95"/>
    <w:rsid w:val="00A67F8A"/>
    <w:rsid w:val="00A7000B"/>
    <w:rsid w:val="00A720E0"/>
    <w:rsid w:val="00A729CB"/>
    <w:rsid w:val="00A73877"/>
    <w:rsid w:val="00A74D6D"/>
    <w:rsid w:val="00A75BB6"/>
    <w:rsid w:val="00A75C4E"/>
    <w:rsid w:val="00A75E3C"/>
    <w:rsid w:val="00A76790"/>
    <w:rsid w:val="00A7766D"/>
    <w:rsid w:val="00A77688"/>
    <w:rsid w:val="00A80D48"/>
    <w:rsid w:val="00A80E24"/>
    <w:rsid w:val="00A8109B"/>
    <w:rsid w:val="00A81F65"/>
    <w:rsid w:val="00A8386D"/>
    <w:rsid w:val="00A84AAE"/>
    <w:rsid w:val="00A8537F"/>
    <w:rsid w:val="00A858F3"/>
    <w:rsid w:val="00A86F7F"/>
    <w:rsid w:val="00A90116"/>
    <w:rsid w:val="00A90FA3"/>
    <w:rsid w:val="00A91266"/>
    <w:rsid w:val="00A9230E"/>
    <w:rsid w:val="00A93DD0"/>
    <w:rsid w:val="00A95655"/>
    <w:rsid w:val="00A95D80"/>
    <w:rsid w:val="00A96736"/>
    <w:rsid w:val="00A96C60"/>
    <w:rsid w:val="00A97216"/>
    <w:rsid w:val="00AA18BE"/>
    <w:rsid w:val="00AA2E42"/>
    <w:rsid w:val="00AA4DD6"/>
    <w:rsid w:val="00AA5311"/>
    <w:rsid w:val="00AA64DA"/>
    <w:rsid w:val="00AA7BA6"/>
    <w:rsid w:val="00AA7FF7"/>
    <w:rsid w:val="00AB34C0"/>
    <w:rsid w:val="00AB3874"/>
    <w:rsid w:val="00AB3E9A"/>
    <w:rsid w:val="00AB4640"/>
    <w:rsid w:val="00AB4EBB"/>
    <w:rsid w:val="00AB6417"/>
    <w:rsid w:val="00AB71B3"/>
    <w:rsid w:val="00AB7849"/>
    <w:rsid w:val="00AB7E56"/>
    <w:rsid w:val="00AC0C97"/>
    <w:rsid w:val="00AC294F"/>
    <w:rsid w:val="00AC2985"/>
    <w:rsid w:val="00AC52E0"/>
    <w:rsid w:val="00AC6A2F"/>
    <w:rsid w:val="00AC6A3E"/>
    <w:rsid w:val="00AC7378"/>
    <w:rsid w:val="00AC7DDB"/>
    <w:rsid w:val="00AD12F9"/>
    <w:rsid w:val="00AD1D21"/>
    <w:rsid w:val="00AD2E07"/>
    <w:rsid w:val="00AD347F"/>
    <w:rsid w:val="00AD362D"/>
    <w:rsid w:val="00AD456C"/>
    <w:rsid w:val="00AD4820"/>
    <w:rsid w:val="00AD4838"/>
    <w:rsid w:val="00AD5C89"/>
    <w:rsid w:val="00AD648C"/>
    <w:rsid w:val="00AD6C2E"/>
    <w:rsid w:val="00AD6CA1"/>
    <w:rsid w:val="00AD73AD"/>
    <w:rsid w:val="00AD7801"/>
    <w:rsid w:val="00AD7C3E"/>
    <w:rsid w:val="00AE15DA"/>
    <w:rsid w:val="00AE1C08"/>
    <w:rsid w:val="00AE3253"/>
    <w:rsid w:val="00AE3A79"/>
    <w:rsid w:val="00AE5086"/>
    <w:rsid w:val="00AE5BE2"/>
    <w:rsid w:val="00AE6186"/>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606D"/>
    <w:rsid w:val="00B0643C"/>
    <w:rsid w:val="00B07369"/>
    <w:rsid w:val="00B07CF5"/>
    <w:rsid w:val="00B11143"/>
    <w:rsid w:val="00B11D22"/>
    <w:rsid w:val="00B11EF8"/>
    <w:rsid w:val="00B17968"/>
    <w:rsid w:val="00B203C6"/>
    <w:rsid w:val="00B20651"/>
    <w:rsid w:val="00B20AFF"/>
    <w:rsid w:val="00B223B8"/>
    <w:rsid w:val="00B232C2"/>
    <w:rsid w:val="00B2443F"/>
    <w:rsid w:val="00B27F15"/>
    <w:rsid w:val="00B3059B"/>
    <w:rsid w:val="00B32917"/>
    <w:rsid w:val="00B32C50"/>
    <w:rsid w:val="00B3314B"/>
    <w:rsid w:val="00B36610"/>
    <w:rsid w:val="00B36A21"/>
    <w:rsid w:val="00B37CF6"/>
    <w:rsid w:val="00B412A6"/>
    <w:rsid w:val="00B42520"/>
    <w:rsid w:val="00B43956"/>
    <w:rsid w:val="00B4510D"/>
    <w:rsid w:val="00B47E12"/>
    <w:rsid w:val="00B51D10"/>
    <w:rsid w:val="00B51D89"/>
    <w:rsid w:val="00B51F3B"/>
    <w:rsid w:val="00B52EB5"/>
    <w:rsid w:val="00B53070"/>
    <w:rsid w:val="00B53E0C"/>
    <w:rsid w:val="00B540D6"/>
    <w:rsid w:val="00B54B12"/>
    <w:rsid w:val="00B554C6"/>
    <w:rsid w:val="00B55B59"/>
    <w:rsid w:val="00B55DFC"/>
    <w:rsid w:val="00B55FB6"/>
    <w:rsid w:val="00B576E9"/>
    <w:rsid w:val="00B60C2D"/>
    <w:rsid w:val="00B61AB1"/>
    <w:rsid w:val="00B63DCC"/>
    <w:rsid w:val="00B6456C"/>
    <w:rsid w:val="00B6699F"/>
    <w:rsid w:val="00B6701C"/>
    <w:rsid w:val="00B6744E"/>
    <w:rsid w:val="00B67BC4"/>
    <w:rsid w:val="00B706D9"/>
    <w:rsid w:val="00B7110B"/>
    <w:rsid w:val="00B71668"/>
    <w:rsid w:val="00B71A2D"/>
    <w:rsid w:val="00B73931"/>
    <w:rsid w:val="00B764D5"/>
    <w:rsid w:val="00B76C86"/>
    <w:rsid w:val="00B76E1B"/>
    <w:rsid w:val="00B77704"/>
    <w:rsid w:val="00B80ED8"/>
    <w:rsid w:val="00B82CCF"/>
    <w:rsid w:val="00B836A4"/>
    <w:rsid w:val="00B83FEC"/>
    <w:rsid w:val="00B8428C"/>
    <w:rsid w:val="00B85EB6"/>
    <w:rsid w:val="00B863BC"/>
    <w:rsid w:val="00B8656B"/>
    <w:rsid w:val="00B87727"/>
    <w:rsid w:val="00B879F1"/>
    <w:rsid w:val="00B900BE"/>
    <w:rsid w:val="00B91B0D"/>
    <w:rsid w:val="00B9281A"/>
    <w:rsid w:val="00B9283A"/>
    <w:rsid w:val="00B92C50"/>
    <w:rsid w:val="00B93CE5"/>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4C3D"/>
    <w:rsid w:val="00BA588C"/>
    <w:rsid w:val="00BA5D56"/>
    <w:rsid w:val="00BA5E52"/>
    <w:rsid w:val="00BA6504"/>
    <w:rsid w:val="00BA6704"/>
    <w:rsid w:val="00BA7E01"/>
    <w:rsid w:val="00BB0E67"/>
    <w:rsid w:val="00BB0F2C"/>
    <w:rsid w:val="00BB31FD"/>
    <w:rsid w:val="00BB4751"/>
    <w:rsid w:val="00BB47D2"/>
    <w:rsid w:val="00BB59D1"/>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D7807"/>
    <w:rsid w:val="00BE04FA"/>
    <w:rsid w:val="00BE0576"/>
    <w:rsid w:val="00BE1F4B"/>
    <w:rsid w:val="00BE2111"/>
    <w:rsid w:val="00BE286C"/>
    <w:rsid w:val="00BE3108"/>
    <w:rsid w:val="00BE320A"/>
    <w:rsid w:val="00BE3C86"/>
    <w:rsid w:val="00BE5398"/>
    <w:rsid w:val="00BE6786"/>
    <w:rsid w:val="00BE7242"/>
    <w:rsid w:val="00BF2ABC"/>
    <w:rsid w:val="00BF55D9"/>
    <w:rsid w:val="00BF6253"/>
    <w:rsid w:val="00BF6277"/>
    <w:rsid w:val="00BF6BC2"/>
    <w:rsid w:val="00BF72E6"/>
    <w:rsid w:val="00BF77DD"/>
    <w:rsid w:val="00C022FB"/>
    <w:rsid w:val="00C02B8C"/>
    <w:rsid w:val="00C047F6"/>
    <w:rsid w:val="00C04EE3"/>
    <w:rsid w:val="00C04F9E"/>
    <w:rsid w:val="00C05160"/>
    <w:rsid w:val="00C06549"/>
    <w:rsid w:val="00C06CB7"/>
    <w:rsid w:val="00C1241A"/>
    <w:rsid w:val="00C12D5A"/>
    <w:rsid w:val="00C138E9"/>
    <w:rsid w:val="00C146C1"/>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637A"/>
    <w:rsid w:val="00C27EE7"/>
    <w:rsid w:val="00C30495"/>
    <w:rsid w:val="00C30A9F"/>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6EB3"/>
    <w:rsid w:val="00C50B98"/>
    <w:rsid w:val="00C516A2"/>
    <w:rsid w:val="00C52197"/>
    <w:rsid w:val="00C5222B"/>
    <w:rsid w:val="00C527C1"/>
    <w:rsid w:val="00C52B66"/>
    <w:rsid w:val="00C53915"/>
    <w:rsid w:val="00C55F2D"/>
    <w:rsid w:val="00C56740"/>
    <w:rsid w:val="00C577AE"/>
    <w:rsid w:val="00C61B66"/>
    <w:rsid w:val="00C61CF0"/>
    <w:rsid w:val="00C61FD5"/>
    <w:rsid w:val="00C625CB"/>
    <w:rsid w:val="00C654BF"/>
    <w:rsid w:val="00C65931"/>
    <w:rsid w:val="00C670CA"/>
    <w:rsid w:val="00C67FD0"/>
    <w:rsid w:val="00C703FE"/>
    <w:rsid w:val="00C70483"/>
    <w:rsid w:val="00C7065B"/>
    <w:rsid w:val="00C70D43"/>
    <w:rsid w:val="00C70DBB"/>
    <w:rsid w:val="00C745A7"/>
    <w:rsid w:val="00C7472D"/>
    <w:rsid w:val="00C74BF9"/>
    <w:rsid w:val="00C77881"/>
    <w:rsid w:val="00C77DD1"/>
    <w:rsid w:val="00C77E1E"/>
    <w:rsid w:val="00C80BD4"/>
    <w:rsid w:val="00C833BA"/>
    <w:rsid w:val="00C83A12"/>
    <w:rsid w:val="00C84C1D"/>
    <w:rsid w:val="00C85E2D"/>
    <w:rsid w:val="00C86304"/>
    <w:rsid w:val="00C90494"/>
    <w:rsid w:val="00C9053F"/>
    <w:rsid w:val="00C919D4"/>
    <w:rsid w:val="00C927E2"/>
    <w:rsid w:val="00C92F2E"/>
    <w:rsid w:val="00C93169"/>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5B0"/>
    <w:rsid w:val="00CA38E6"/>
    <w:rsid w:val="00CA4A09"/>
    <w:rsid w:val="00CA5324"/>
    <w:rsid w:val="00CA55DB"/>
    <w:rsid w:val="00CA5686"/>
    <w:rsid w:val="00CA5910"/>
    <w:rsid w:val="00CA5EAD"/>
    <w:rsid w:val="00CA6026"/>
    <w:rsid w:val="00CA63EE"/>
    <w:rsid w:val="00CA7348"/>
    <w:rsid w:val="00CB1BA9"/>
    <w:rsid w:val="00CB286E"/>
    <w:rsid w:val="00CB4F1F"/>
    <w:rsid w:val="00CB4F3D"/>
    <w:rsid w:val="00CB5A1D"/>
    <w:rsid w:val="00CB677D"/>
    <w:rsid w:val="00CB6A6A"/>
    <w:rsid w:val="00CB7FF6"/>
    <w:rsid w:val="00CC2048"/>
    <w:rsid w:val="00CC2C14"/>
    <w:rsid w:val="00CC2E48"/>
    <w:rsid w:val="00CC42C8"/>
    <w:rsid w:val="00CC463F"/>
    <w:rsid w:val="00CC4951"/>
    <w:rsid w:val="00CC4B7B"/>
    <w:rsid w:val="00CC51A6"/>
    <w:rsid w:val="00CC584B"/>
    <w:rsid w:val="00CC5F44"/>
    <w:rsid w:val="00CC6B9A"/>
    <w:rsid w:val="00CC6EE0"/>
    <w:rsid w:val="00CD00E5"/>
    <w:rsid w:val="00CD06F8"/>
    <w:rsid w:val="00CD0C6E"/>
    <w:rsid w:val="00CD10C9"/>
    <w:rsid w:val="00CD1496"/>
    <w:rsid w:val="00CD250D"/>
    <w:rsid w:val="00CD25DC"/>
    <w:rsid w:val="00CD40F3"/>
    <w:rsid w:val="00CD41B4"/>
    <w:rsid w:val="00CD46EC"/>
    <w:rsid w:val="00CD4C3F"/>
    <w:rsid w:val="00CD53E3"/>
    <w:rsid w:val="00CD568B"/>
    <w:rsid w:val="00CD5827"/>
    <w:rsid w:val="00CE1C95"/>
    <w:rsid w:val="00CE1DC1"/>
    <w:rsid w:val="00CE2706"/>
    <w:rsid w:val="00CE4BF6"/>
    <w:rsid w:val="00CE6037"/>
    <w:rsid w:val="00CE7450"/>
    <w:rsid w:val="00CE7AFD"/>
    <w:rsid w:val="00CE7CF5"/>
    <w:rsid w:val="00CE7E45"/>
    <w:rsid w:val="00CF0C6F"/>
    <w:rsid w:val="00CF1EC5"/>
    <w:rsid w:val="00CF20CE"/>
    <w:rsid w:val="00CF3811"/>
    <w:rsid w:val="00CF4298"/>
    <w:rsid w:val="00CF56F8"/>
    <w:rsid w:val="00CF7939"/>
    <w:rsid w:val="00D008B9"/>
    <w:rsid w:val="00D025BD"/>
    <w:rsid w:val="00D02603"/>
    <w:rsid w:val="00D02C3D"/>
    <w:rsid w:val="00D0309F"/>
    <w:rsid w:val="00D03278"/>
    <w:rsid w:val="00D03FDD"/>
    <w:rsid w:val="00D04C3C"/>
    <w:rsid w:val="00D052EF"/>
    <w:rsid w:val="00D053D1"/>
    <w:rsid w:val="00D05524"/>
    <w:rsid w:val="00D074A9"/>
    <w:rsid w:val="00D07829"/>
    <w:rsid w:val="00D105A9"/>
    <w:rsid w:val="00D10B5E"/>
    <w:rsid w:val="00D117CD"/>
    <w:rsid w:val="00D11A91"/>
    <w:rsid w:val="00D12634"/>
    <w:rsid w:val="00D1299D"/>
    <w:rsid w:val="00D138B5"/>
    <w:rsid w:val="00D16CE6"/>
    <w:rsid w:val="00D173B5"/>
    <w:rsid w:val="00D17DDB"/>
    <w:rsid w:val="00D21C45"/>
    <w:rsid w:val="00D222D5"/>
    <w:rsid w:val="00D224F1"/>
    <w:rsid w:val="00D228A3"/>
    <w:rsid w:val="00D22BC7"/>
    <w:rsid w:val="00D25888"/>
    <w:rsid w:val="00D25C84"/>
    <w:rsid w:val="00D27163"/>
    <w:rsid w:val="00D27234"/>
    <w:rsid w:val="00D30FD0"/>
    <w:rsid w:val="00D31255"/>
    <w:rsid w:val="00D312F9"/>
    <w:rsid w:val="00D31621"/>
    <w:rsid w:val="00D32800"/>
    <w:rsid w:val="00D32FCF"/>
    <w:rsid w:val="00D330BF"/>
    <w:rsid w:val="00D33C4C"/>
    <w:rsid w:val="00D33EA9"/>
    <w:rsid w:val="00D33F5A"/>
    <w:rsid w:val="00D3580C"/>
    <w:rsid w:val="00D365FA"/>
    <w:rsid w:val="00D36935"/>
    <w:rsid w:val="00D37AD1"/>
    <w:rsid w:val="00D37C30"/>
    <w:rsid w:val="00D37EA4"/>
    <w:rsid w:val="00D407A4"/>
    <w:rsid w:val="00D408BE"/>
    <w:rsid w:val="00D40D1E"/>
    <w:rsid w:val="00D4298C"/>
    <w:rsid w:val="00D44113"/>
    <w:rsid w:val="00D44E72"/>
    <w:rsid w:val="00D459AB"/>
    <w:rsid w:val="00D462BE"/>
    <w:rsid w:val="00D463CB"/>
    <w:rsid w:val="00D464B4"/>
    <w:rsid w:val="00D46D54"/>
    <w:rsid w:val="00D4771C"/>
    <w:rsid w:val="00D5023E"/>
    <w:rsid w:val="00D505DE"/>
    <w:rsid w:val="00D510B0"/>
    <w:rsid w:val="00D52934"/>
    <w:rsid w:val="00D53759"/>
    <w:rsid w:val="00D54631"/>
    <w:rsid w:val="00D54BB0"/>
    <w:rsid w:val="00D558A8"/>
    <w:rsid w:val="00D558F1"/>
    <w:rsid w:val="00D56B38"/>
    <w:rsid w:val="00D56E99"/>
    <w:rsid w:val="00D57369"/>
    <w:rsid w:val="00D6018C"/>
    <w:rsid w:val="00D6117B"/>
    <w:rsid w:val="00D61564"/>
    <w:rsid w:val="00D615DB"/>
    <w:rsid w:val="00D63395"/>
    <w:rsid w:val="00D63548"/>
    <w:rsid w:val="00D6391A"/>
    <w:rsid w:val="00D63C2F"/>
    <w:rsid w:val="00D644A2"/>
    <w:rsid w:val="00D64F9C"/>
    <w:rsid w:val="00D65255"/>
    <w:rsid w:val="00D65A9D"/>
    <w:rsid w:val="00D66A6A"/>
    <w:rsid w:val="00D6740E"/>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27EF"/>
    <w:rsid w:val="00D837D6"/>
    <w:rsid w:val="00D83E47"/>
    <w:rsid w:val="00D85ECE"/>
    <w:rsid w:val="00D86A7E"/>
    <w:rsid w:val="00D86EB9"/>
    <w:rsid w:val="00D87450"/>
    <w:rsid w:val="00D87A3B"/>
    <w:rsid w:val="00D90D1E"/>
    <w:rsid w:val="00D91AD5"/>
    <w:rsid w:val="00D92BB1"/>
    <w:rsid w:val="00D92CDF"/>
    <w:rsid w:val="00D93431"/>
    <w:rsid w:val="00D93F9F"/>
    <w:rsid w:val="00D94AC3"/>
    <w:rsid w:val="00D95F7A"/>
    <w:rsid w:val="00D968E9"/>
    <w:rsid w:val="00DA0308"/>
    <w:rsid w:val="00DA06C2"/>
    <w:rsid w:val="00DA0999"/>
    <w:rsid w:val="00DA13CB"/>
    <w:rsid w:val="00DA16D9"/>
    <w:rsid w:val="00DA2E3B"/>
    <w:rsid w:val="00DA3CAD"/>
    <w:rsid w:val="00DA43E9"/>
    <w:rsid w:val="00DA5837"/>
    <w:rsid w:val="00DA6A64"/>
    <w:rsid w:val="00DA78A1"/>
    <w:rsid w:val="00DA7920"/>
    <w:rsid w:val="00DB02F5"/>
    <w:rsid w:val="00DB0585"/>
    <w:rsid w:val="00DB090B"/>
    <w:rsid w:val="00DB0BC6"/>
    <w:rsid w:val="00DB16AC"/>
    <w:rsid w:val="00DB20DD"/>
    <w:rsid w:val="00DB27CE"/>
    <w:rsid w:val="00DB35C9"/>
    <w:rsid w:val="00DB4858"/>
    <w:rsid w:val="00DB486F"/>
    <w:rsid w:val="00DB4CC3"/>
    <w:rsid w:val="00DB7734"/>
    <w:rsid w:val="00DB7F30"/>
    <w:rsid w:val="00DB7FEE"/>
    <w:rsid w:val="00DC0377"/>
    <w:rsid w:val="00DC0991"/>
    <w:rsid w:val="00DC2336"/>
    <w:rsid w:val="00DC23BA"/>
    <w:rsid w:val="00DC4387"/>
    <w:rsid w:val="00DC46C7"/>
    <w:rsid w:val="00DC6922"/>
    <w:rsid w:val="00DC7389"/>
    <w:rsid w:val="00DD000F"/>
    <w:rsid w:val="00DD238F"/>
    <w:rsid w:val="00DD245F"/>
    <w:rsid w:val="00DD2CAA"/>
    <w:rsid w:val="00DD46B7"/>
    <w:rsid w:val="00DD4C53"/>
    <w:rsid w:val="00DD6D50"/>
    <w:rsid w:val="00DD73C1"/>
    <w:rsid w:val="00DE031C"/>
    <w:rsid w:val="00DE089E"/>
    <w:rsid w:val="00DE29DE"/>
    <w:rsid w:val="00DE33CC"/>
    <w:rsid w:val="00DE362D"/>
    <w:rsid w:val="00DE48E7"/>
    <w:rsid w:val="00DE7E55"/>
    <w:rsid w:val="00DF0382"/>
    <w:rsid w:val="00DF058D"/>
    <w:rsid w:val="00DF1CE1"/>
    <w:rsid w:val="00DF1E16"/>
    <w:rsid w:val="00DF225D"/>
    <w:rsid w:val="00DF2D6F"/>
    <w:rsid w:val="00DF44A0"/>
    <w:rsid w:val="00DF4831"/>
    <w:rsid w:val="00DF492D"/>
    <w:rsid w:val="00DF5778"/>
    <w:rsid w:val="00DF6401"/>
    <w:rsid w:val="00DF641A"/>
    <w:rsid w:val="00DF6F1C"/>
    <w:rsid w:val="00E0027D"/>
    <w:rsid w:val="00E002DD"/>
    <w:rsid w:val="00E00DC3"/>
    <w:rsid w:val="00E01973"/>
    <w:rsid w:val="00E03B30"/>
    <w:rsid w:val="00E0417B"/>
    <w:rsid w:val="00E04413"/>
    <w:rsid w:val="00E04DB8"/>
    <w:rsid w:val="00E05BD4"/>
    <w:rsid w:val="00E067E5"/>
    <w:rsid w:val="00E0771B"/>
    <w:rsid w:val="00E07C23"/>
    <w:rsid w:val="00E07D76"/>
    <w:rsid w:val="00E10CA6"/>
    <w:rsid w:val="00E10D0A"/>
    <w:rsid w:val="00E1125B"/>
    <w:rsid w:val="00E1166D"/>
    <w:rsid w:val="00E14AD1"/>
    <w:rsid w:val="00E15550"/>
    <w:rsid w:val="00E1640C"/>
    <w:rsid w:val="00E16457"/>
    <w:rsid w:val="00E170FE"/>
    <w:rsid w:val="00E17B85"/>
    <w:rsid w:val="00E17DA9"/>
    <w:rsid w:val="00E2250E"/>
    <w:rsid w:val="00E22DA1"/>
    <w:rsid w:val="00E23018"/>
    <w:rsid w:val="00E235F5"/>
    <w:rsid w:val="00E24A83"/>
    <w:rsid w:val="00E24ACA"/>
    <w:rsid w:val="00E25E95"/>
    <w:rsid w:val="00E26369"/>
    <w:rsid w:val="00E2655D"/>
    <w:rsid w:val="00E2658D"/>
    <w:rsid w:val="00E2674B"/>
    <w:rsid w:val="00E2699F"/>
    <w:rsid w:val="00E26B54"/>
    <w:rsid w:val="00E27233"/>
    <w:rsid w:val="00E2733B"/>
    <w:rsid w:val="00E3011B"/>
    <w:rsid w:val="00E303DD"/>
    <w:rsid w:val="00E33FF5"/>
    <w:rsid w:val="00E34C21"/>
    <w:rsid w:val="00E35BD2"/>
    <w:rsid w:val="00E35FCC"/>
    <w:rsid w:val="00E3624B"/>
    <w:rsid w:val="00E36E69"/>
    <w:rsid w:val="00E375F6"/>
    <w:rsid w:val="00E37704"/>
    <w:rsid w:val="00E40DC8"/>
    <w:rsid w:val="00E42C6A"/>
    <w:rsid w:val="00E4367B"/>
    <w:rsid w:val="00E43DCF"/>
    <w:rsid w:val="00E4403C"/>
    <w:rsid w:val="00E45573"/>
    <w:rsid w:val="00E45E63"/>
    <w:rsid w:val="00E46A32"/>
    <w:rsid w:val="00E46CD7"/>
    <w:rsid w:val="00E46F8F"/>
    <w:rsid w:val="00E47E5B"/>
    <w:rsid w:val="00E50E8E"/>
    <w:rsid w:val="00E515A9"/>
    <w:rsid w:val="00E51658"/>
    <w:rsid w:val="00E525D7"/>
    <w:rsid w:val="00E52B33"/>
    <w:rsid w:val="00E52B56"/>
    <w:rsid w:val="00E535AF"/>
    <w:rsid w:val="00E55E07"/>
    <w:rsid w:val="00E56AE2"/>
    <w:rsid w:val="00E56E66"/>
    <w:rsid w:val="00E57115"/>
    <w:rsid w:val="00E5738A"/>
    <w:rsid w:val="00E57ADB"/>
    <w:rsid w:val="00E6188E"/>
    <w:rsid w:val="00E61CF3"/>
    <w:rsid w:val="00E6204E"/>
    <w:rsid w:val="00E63619"/>
    <w:rsid w:val="00E63A3B"/>
    <w:rsid w:val="00E64C94"/>
    <w:rsid w:val="00E64D91"/>
    <w:rsid w:val="00E65065"/>
    <w:rsid w:val="00E667A4"/>
    <w:rsid w:val="00E66AF8"/>
    <w:rsid w:val="00E66B82"/>
    <w:rsid w:val="00E722D9"/>
    <w:rsid w:val="00E733CB"/>
    <w:rsid w:val="00E73A1F"/>
    <w:rsid w:val="00E74A3D"/>
    <w:rsid w:val="00E74BA8"/>
    <w:rsid w:val="00E7560C"/>
    <w:rsid w:val="00E7720D"/>
    <w:rsid w:val="00E80DBD"/>
    <w:rsid w:val="00E80F8D"/>
    <w:rsid w:val="00E812AD"/>
    <w:rsid w:val="00E8141E"/>
    <w:rsid w:val="00E82926"/>
    <w:rsid w:val="00E83625"/>
    <w:rsid w:val="00E83F34"/>
    <w:rsid w:val="00E85390"/>
    <w:rsid w:val="00E86197"/>
    <w:rsid w:val="00E87323"/>
    <w:rsid w:val="00E9130A"/>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B51"/>
    <w:rsid w:val="00EB1DE7"/>
    <w:rsid w:val="00EB2758"/>
    <w:rsid w:val="00EB2CF2"/>
    <w:rsid w:val="00EB3206"/>
    <w:rsid w:val="00EB3F26"/>
    <w:rsid w:val="00EB41CF"/>
    <w:rsid w:val="00EB4252"/>
    <w:rsid w:val="00EB461F"/>
    <w:rsid w:val="00EB4C92"/>
    <w:rsid w:val="00EB4F66"/>
    <w:rsid w:val="00EB5BA1"/>
    <w:rsid w:val="00EB6B05"/>
    <w:rsid w:val="00EC0CE4"/>
    <w:rsid w:val="00EC0FDB"/>
    <w:rsid w:val="00EC293D"/>
    <w:rsid w:val="00EC3AF0"/>
    <w:rsid w:val="00EC6646"/>
    <w:rsid w:val="00EC6A7F"/>
    <w:rsid w:val="00EC7634"/>
    <w:rsid w:val="00EC77D4"/>
    <w:rsid w:val="00ED0F26"/>
    <w:rsid w:val="00ED17DC"/>
    <w:rsid w:val="00ED1D17"/>
    <w:rsid w:val="00ED1D3A"/>
    <w:rsid w:val="00ED630B"/>
    <w:rsid w:val="00ED72FC"/>
    <w:rsid w:val="00ED78BC"/>
    <w:rsid w:val="00EE0996"/>
    <w:rsid w:val="00EE0EFD"/>
    <w:rsid w:val="00EE13DE"/>
    <w:rsid w:val="00EE1743"/>
    <w:rsid w:val="00EE1BC5"/>
    <w:rsid w:val="00EE1D0B"/>
    <w:rsid w:val="00EE21B0"/>
    <w:rsid w:val="00EE2C34"/>
    <w:rsid w:val="00EE30DF"/>
    <w:rsid w:val="00EE39D5"/>
    <w:rsid w:val="00EE3D6E"/>
    <w:rsid w:val="00EE42A7"/>
    <w:rsid w:val="00EE6E7D"/>
    <w:rsid w:val="00EE7A62"/>
    <w:rsid w:val="00EF120D"/>
    <w:rsid w:val="00EF240A"/>
    <w:rsid w:val="00EF55FF"/>
    <w:rsid w:val="00EF6109"/>
    <w:rsid w:val="00EF730B"/>
    <w:rsid w:val="00EF7857"/>
    <w:rsid w:val="00EF7CCB"/>
    <w:rsid w:val="00F00C1E"/>
    <w:rsid w:val="00F01F59"/>
    <w:rsid w:val="00F0520D"/>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E26"/>
    <w:rsid w:val="00F23FFA"/>
    <w:rsid w:val="00F240C7"/>
    <w:rsid w:val="00F249BF"/>
    <w:rsid w:val="00F25613"/>
    <w:rsid w:val="00F25AE6"/>
    <w:rsid w:val="00F30966"/>
    <w:rsid w:val="00F30BAE"/>
    <w:rsid w:val="00F31777"/>
    <w:rsid w:val="00F31C86"/>
    <w:rsid w:val="00F3224A"/>
    <w:rsid w:val="00F3377A"/>
    <w:rsid w:val="00F348CA"/>
    <w:rsid w:val="00F34CDD"/>
    <w:rsid w:val="00F3567F"/>
    <w:rsid w:val="00F3594E"/>
    <w:rsid w:val="00F36602"/>
    <w:rsid w:val="00F36FB1"/>
    <w:rsid w:val="00F403BA"/>
    <w:rsid w:val="00F410A7"/>
    <w:rsid w:val="00F4185A"/>
    <w:rsid w:val="00F42AE8"/>
    <w:rsid w:val="00F42E25"/>
    <w:rsid w:val="00F44A2B"/>
    <w:rsid w:val="00F45016"/>
    <w:rsid w:val="00F45F2E"/>
    <w:rsid w:val="00F47EA3"/>
    <w:rsid w:val="00F50015"/>
    <w:rsid w:val="00F50753"/>
    <w:rsid w:val="00F52DA0"/>
    <w:rsid w:val="00F536FA"/>
    <w:rsid w:val="00F53A17"/>
    <w:rsid w:val="00F53DCD"/>
    <w:rsid w:val="00F54937"/>
    <w:rsid w:val="00F5494B"/>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67CFF"/>
    <w:rsid w:val="00F70EFF"/>
    <w:rsid w:val="00F71698"/>
    <w:rsid w:val="00F71905"/>
    <w:rsid w:val="00F71F8F"/>
    <w:rsid w:val="00F72153"/>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909A0"/>
    <w:rsid w:val="00F90DAF"/>
    <w:rsid w:val="00F91A09"/>
    <w:rsid w:val="00F932D5"/>
    <w:rsid w:val="00F9330E"/>
    <w:rsid w:val="00F94372"/>
    <w:rsid w:val="00F9473C"/>
    <w:rsid w:val="00F94968"/>
    <w:rsid w:val="00F9509E"/>
    <w:rsid w:val="00F95A09"/>
    <w:rsid w:val="00F972C1"/>
    <w:rsid w:val="00FA0074"/>
    <w:rsid w:val="00FA1553"/>
    <w:rsid w:val="00FA55E5"/>
    <w:rsid w:val="00FA5A55"/>
    <w:rsid w:val="00FA7232"/>
    <w:rsid w:val="00FB0122"/>
    <w:rsid w:val="00FB220A"/>
    <w:rsid w:val="00FB29A7"/>
    <w:rsid w:val="00FB2E48"/>
    <w:rsid w:val="00FB5555"/>
    <w:rsid w:val="00FB6124"/>
    <w:rsid w:val="00FB61C8"/>
    <w:rsid w:val="00FB635A"/>
    <w:rsid w:val="00FB64F3"/>
    <w:rsid w:val="00FB7291"/>
    <w:rsid w:val="00FB7CF8"/>
    <w:rsid w:val="00FC08EC"/>
    <w:rsid w:val="00FC0A5C"/>
    <w:rsid w:val="00FC10C9"/>
    <w:rsid w:val="00FC19CE"/>
    <w:rsid w:val="00FC2236"/>
    <w:rsid w:val="00FC26CF"/>
    <w:rsid w:val="00FC4270"/>
    <w:rsid w:val="00FC4999"/>
    <w:rsid w:val="00FC572B"/>
    <w:rsid w:val="00FC6743"/>
    <w:rsid w:val="00FC6786"/>
    <w:rsid w:val="00FC6E2A"/>
    <w:rsid w:val="00FC7E62"/>
    <w:rsid w:val="00FD00B5"/>
    <w:rsid w:val="00FD0295"/>
    <w:rsid w:val="00FD1D90"/>
    <w:rsid w:val="00FD3D5C"/>
    <w:rsid w:val="00FD3DA7"/>
    <w:rsid w:val="00FD4D6F"/>
    <w:rsid w:val="00FD50A0"/>
    <w:rsid w:val="00FD5DD3"/>
    <w:rsid w:val="00FD68C2"/>
    <w:rsid w:val="00FD7AE2"/>
    <w:rsid w:val="00FE1761"/>
    <w:rsid w:val="00FE2225"/>
    <w:rsid w:val="00FE2E59"/>
    <w:rsid w:val="00FE3332"/>
    <w:rsid w:val="00FE37EF"/>
    <w:rsid w:val="00FE4346"/>
    <w:rsid w:val="00FE455A"/>
    <w:rsid w:val="00FE4EB5"/>
    <w:rsid w:val="00FF6C26"/>
    <w:rsid w:val="00FF6E9B"/>
    <w:rsid w:val="00FF7AC6"/>
    <w:rsid w:val="033F683B"/>
    <w:rsid w:val="043013E0"/>
    <w:rsid w:val="05765502"/>
    <w:rsid w:val="061C0CA8"/>
    <w:rsid w:val="062C280A"/>
    <w:rsid w:val="06D67825"/>
    <w:rsid w:val="07215040"/>
    <w:rsid w:val="07285B25"/>
    <w:rsid w:val="07BB05D6"/>
    <w:rsid w:val="07C0798B"/>
    <w:rsid w:val="08417FA7"/>
    <w:rsid w:val="0942292F"/>
    <w:rsid w:val="0A632019"/>
    <w:rsid w:val="0A94336A"/>
    <w:rsid w:val="0AAE62EE"/>
    <w:rsid w:val="0B306A87"/>
    <w:rsid w:val="0B640855"/>
    <w:rsid w:val="0C2627C8"/>
    <w:rsid w:val="0D2701B4"/>
    <w:rsid w:val="0D527F09"/>
    <w:rsid w:val="0DDC3A66"/>
    <w:rsid w:val="0DEB1627"/>
    <w:rsid w:val="0DFE385A"/>
    <w:rsid w:val="0E790428"/>
    <w:rsid w:val="0E846E29"/>
    <w:rsid w:val="0EC360FD"/>
    <w:rsid w:val="0F202505"/>
    <w:rsid w:val="0F3F675E"/>
    <w:rsid w:val="0F4933A8"/>
    <w:rsid w:val="0FA5118C"/>
    <w:rsid w:val="101F3294"/>
    <w:rsid w:val="10554E67"/>
    <w:rsid w:val="10756CB1"/>
    <w:rsid w:val="109C4CD3"/>
    <w:rsid w:val="10A03A77"/>
    <w:rsid w:val="11364558"/>
    <w:rsid w:val="11473D3D"/>
    <w:rsid w:val="11F62ADD"/>
    <w:rsid w:val="121438CE"/>
    <w:rsid w:val="136F5E09"/>
    <w:rsid w:val="13E1581F"/>
    <w:rsid w:val="140756CA"/>
    <w:rsid w:val="14135CE9"/>
    <w:rsid w:val="14292D22"/>
    <w:rsid w:val="143F7994"/>
    <w:rsid w:val="14556E24"/>
    <w:rsid w:val="145C09B6"/>
    <w:rsid w:val="1534197E"/>
    <w:rsid w:val="15445FB3"/>
    <w:rsid w:val="15AC68D1"/>
    <w:rsid w:val="15C06233"/>
    <w:rsid w:val="15E564DA"/>
    <w:rsid w:val="16B54D41"/>
    <w:rsid w:val="16C460E2"/>
    <w:rsid w:val="19107E5B"/>
    <w:rsid w:val="196938FF"/>
    <w:rsid w:val="19DA1C88"/>
    <w:rsid w:val="1A09059C"/>
    <w:rsid w:val="1A1B1771"/>
    <w:rsid w:val="1A595A62"/>
    <w:rsid w:val="1B574A59"/>
    <w:rsid w:val="1C8C3FCD"/>
    <w:rsid w:val="1D8F18A8"/>
    <w:rsid w:val="1E4578B6"/>
    <w:rsid w:val="1EAE4C7B"/>
    <w:rsid w:val="1F3A0188"/>
    <w:rsid w:val="1F7E54C3"/>
    <w:rsid w:val="200D34F7"/>
    <w:rsid w:val="228639D1"/>
    <w:rsid w:val="22BD3DDC"/>
    <w:rsid w:val="2368442E"/>
    <w:rsid w:val="237A6685"/>
    <w:rsid w:val="23A50732"/>
    <w:rsid w:val="24180599"/>
    <w:rsid w:val="24D470B2"/>
    <w:rsid w:val="254030C1"/>
    <w:rsid w:val="25592D3B"/>
    <w:rsid w:val="25714518"/>
    <w:rsid w:val="25AD64F9"/>
    <w:rsid w:val="25F25922"/>
    <w:rsid w:val="26D959CA"/>
    <w:rsid w:val="272D10FC"/>
    <w:rsid w:val="277245D4"/>
    <w:rsid w:val="28114720"/>
    <w:rsid w:val="28CF63F4"/>
    <w:rsid w:val="290D5504"/>
    <w:rsid w:val="29326DC7"/>
    <w:rsid w:val="296A57B2"/>
    <w:rsid w:val="29790544"/>
    <w:rsid w:val="29F26F2A"/>
    <w:rsid w:val="2A144AD2"/>
    <w:rsid w:val="2B4179B6"/>
    <w:rsid w:val="2B576975"/>
    <w:rsid w:val="2BC16C32"/>
    <w:rsid w:val="2C85746B"/>
    <w:rsid w:val="2CC855D1"/>
    <w:rsid w:val="2D9B2332"/>
    <w:rsid w:val="2DCC06F5"/>
    <w:rsid w:val="2DDD422B"/>
    <w:rsid w:val="2E3D6939"/>
    <w:rsid w:val="2E84548B"/>
    <w:rsid w:val="2F2B1A5B"/>
    <w:rsid w:val="2F320FE9"/>
    <w:rsid w:val="2FC9681B"/>
    <w:rsid w:val="31014D28"/>
    <w:rsid w:val="31847FAF"/>
    <w:rsid w:val="32F84944"/>
    <w:rsid w:val="34B250B0"/>
    <w:rsid w:val="34E62D8C"/>
    <w:rsid w:val="358F4C83"/>
    <w:rsid w:val="35FB623F"/>
    <w:rsid w:val="366E3B3C"/>
    <w:rsid w:val="370F0BCD"/>
    <w:rsid w:val="3715098A"/>
    <w:rsid w:val="377C6EFA"/>
    <w:rsid w:val="38CA4224"/>
    <w:rsid w:val="38E47094"/>
    <w:rsid w:val="39157688"/>
    <w:rsid w:val="39322FCA"/>
    <w:rsid w:val="3A1844F4"/>
    <w:rsid w:val="3A315C33"/>
    <w:rsid w:val="3A922B1F"/>
    <w:rsid w:val="3B1209F3"/>
    <w:rsid w:val="3B144638"/>
    <w:rsid w:val="3B410E79"/>
    <w:rsid w:val="3B5878C5"/>
    <w:rsid w:val="3B6BFFF0"/>
    <w:rsid w:val="3BA011E5"/>
    <w:rsid w:val="3BE22C01"/>
    <w:rsid w:val="3C547501"/>
    <w:rsid w:val="3C5C5F5C"/>
    <w:rsid w:val="3CA66F12"/>
    <w:rsid w:val="3DBC13EE"/>
    <w:rsid w:val="3E596370"/>
    <w:rsid w:val="3EF913BF"/>
    <w:rsid w:val="3FBC6BAA"/>
    <w:rsid w:val="40865941"/>
    <w:rsid w:val="416318D4"/>
    <w:rsid w:val="417F239B"/>
    <w:rsid w:val="41F25792"/>
    <w:rsid w:val="42974085"/>
    <w:rsid w:val="43FBD0B8"/>
    <w:rsid w:val="444F3EA9"/>
    <w:rsid w:val="452B5932"/>
    <w:rsid w:val="45497D2B"/>
    <w:rsid w:val="45820476"/>
    <w:rsid w:val="45C11FF3"/>
    <w:rsid w:val="47775AD7"/>
    <w:rsid w:val="47B916EB"/>
    <w:rsid w:val="49212D14"/>
    <w:rsid w:val="49A773FE"/>
    <w:rsid w:val="4A1F4764"/>
    <w:rsid w:val="4A441B1A"/>
    <w:rsid w:val="4B0D67DA"/>
    <w:rsid w:val="4B104729"/>
    <w:rsid w:val="4B561588"/>
    <w:rsid w:val="4B5A2526"/>
    <w:rsid w:val="4BD20DBC"/>
    <w:rsid w:val="4C556343"/>
    <w:rsid w:val="4CAC01DB"/>
    <w:rsid w:val="4CBA6D83"/>
    <w:rsid w:val="4D050750"/>
    <w:rsid w:val="4EA24A37"/>
    <w:rsid w:val="4EBF1908"/>
    <w:rsid w:val="50BE485B"/>
    <w:rsid w:val="50EF21DE"/>
    <w:rsid w:val="50FC6397"/>
    <w:rsid w:val="513C4424"/>
    <w:rsid w:val="51711BA4"/>
    <w:rsid w:val="51CE7479"/>
    <w:rsid w:val="522D2509"/>
    <w:rsid w:val="524C78DF"/>
    <w:rsid w:val="52FE5AB1"/>
    <w:rsid w:val="53DA317B"/>
    <w:rsid w:val="54103AAC"/>
    <w:rsid w:val="541F2AC6"/>
    <w:rsid w:val="54455AEF"/>
    <w:rsid w:val="5482205B"/>
    <w:rsid w:val="549A5B63"/>
    <w:rsid w:val="54C50A10"/>
    <w:rsid w:val="55190490"/>
    <w:rsid w:val="554C03ED"/>
    <w:rsid w:val="55A7171D"/>
    <w:rsid w:val="55DB13C7"/>
    <w:rsid w:val="56A01764"/>
    <w:rsid w:val="57096E9F"/>
    <w:rsid w:val="57CD7FAB"/>
    <w:rsid w:val="57D5394B"/>
    <w:rsid w:val="59125B5B"/>
    <w:rsid w:val="5A5B099B"/>
    <w:rsid w:val="5A7F13A1"/>
    <w:rsid w:val="5A8328B1"/>
    <w:rsid w:val="5B5D0625"/>
    <w:rsid w:val="5B5D3146"/>
    <w:rsid w:val="5E653E57"/>
    <w:rsid w:val="5EDC31F2"/>
    <w:rsid w:val="5EFE25C6"/>
    <w:rsid w:val="5F6B5569"/>
    <w:rsid w:val="5FD6799D"/>
    <w:rsid w:val="60915A2A"/>
    <w:rsid w:val="60F8252D"/>
    <w:rsid w:val="621E6BB3"/>
    <w:rsid w:val="62350B41"/>
    <w:rsid w:val="629F59D2"/>
    <w:rsid w:val="63C64EB3"/>
    <w:rsid w:val="648D0D03"/>
    <w:rsid w:val="65077BC9"/>
    <w:rsid w:val="6679A9F2"/>
    <w:rsid w:val="66C24EF1"/>
    <w:rsid w:val="66CC0AAD"/>
    <w:rsid w:val="67A41618"/>
    <w:rsid w:val="689A3E47"/>
    <w:rsid w:val="689F1CB4"/>
    <w:rsid w:val="68AE5B14"/>
    <w:rsid w:val="690C39F5"/>
    <w:rsid w:val="697A70E8"/>
    <w:rsid w:val="6A4B47BB"/>
    <w:rsid w:val="6AB96073"/>
    <w:rsid w:val="6B0845B4"/>
    <w:rsid w:val="6B912F3A"/>
    <w:rsid w:val="6BCC359A"/>
    <w:rsid w:val="6C8A16C9"/>
    <w:rsid w:val="6D515C31"/>
    <w:rsid w:val="6D870C0C"/>
    <w:rsid w:val="6E474E7D"/>
    <w:rsid w:val="6EA339BF"/>
    <w:rsid w:val="6F207AEE"/>
    <w:rsid w:val="6F9D1206"/>
    <w:rsid w:val="700D04E3"/>
    <w:rsid w:val="70495C48"/>
    <w:rsid w:val="70550787"/>
    <w:rsid w:val="7086429A"/>
    <w:rsid w:val="70C03EA1"/>
    <w:rsid w:val="710A6D7C"/>
    <w:rsid w:val="72147D8C"/>
    <w:rsid w:val="721C1710"/>
    <w:rsid w:val="72684F31"/>
    <w:rsid w:val="72C735DA"/>
    <w:rsid w:val="73AF3213"/>
    <w:rsid w:val="74171020"/>
    <w:rsid w:val="7461635C"/>
    <w:rsid w:val="74FF083E"/>
    <w:rsid w:val="75033A86"/>
    <w:rsid w:val="75AD133B"/>
    <w:rsid w:val="75D557EB"/>
    <w:rsid w:val="760333B2"/>
    <w:rsid w:val="76D6569E"/>
    <w:rsid w:val="77106AAF"/>
    <w:rsid w:val="7722680D"/>
    <w:rsid w:val="777D0D1B"/>
    <w:rsid w:val="779B110D"/>
    <w:rsid w:val="77F730CE"/>
    <w:rsid w:val="78204054"/>
    <w:rsid w:val="78254F2C"/>
    <w:rsid w:val="789E1E5D"/>
    <w:rsid w:val="7A5114CD"/>
    <w:rsid w:val="7AE24C58"/>
    <w:rsid w:val="7BC62B6D"/>
    <w:rsid w:val="7CF56221"/>
    <w:rsid w:val="7D353CCF"/>
    <w:rsid w:val="7EB65FCC"/>
    <w:rsid w:val="7F99647A"/>
    <w:rsid w:val="7F9A2311"/>
    <w:rsid w:val="7FCC2B60"/>
    <w:rsid w:val="FF504E52"/>
    <w:rsid w:val="FFBF0012"/>
    <w:rsid w:val="FFFC70E1"/>
    <w:rsid w:val="FFFED9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autoRedefine/>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3">
    <w:name w:val="heading 2"/>
    <w:basedOn w:val="1"/>
    <w:next w:val="1"/>
    <w:link w:val="65"/>
    <w:autoRedefine/>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4">
    <w:name w:val="heading 3"/>
    <w:basedOn w:val="1"/>
    <w:next w:val="5"/>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autoRedefine/>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autoRedefine/>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autoRedefine/>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99"/>
    <w:pPr>
      <w:ind w:left="2520" w:leftChars="1200"/>
    </w:pPr>
    <w:rPr>
      <w:rFonts w:ascii="Calibri" w:hAnsi="Calibri"/>
      <w:szCs w:val="22"/>
    </w:rPr>
  </w:style>
  <w:style w:type="paragraph" w:styleId="13">
    <w:name w:val="List Number 2"/>
    <w:basedOn w:val="1"/>
    <w:autoRedefine/>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autoRedefine/>
    <w:qFormat/>
    <w:uiPriority w:val="99"/>
    <w:pPr>
      <w:tabs>
        <w:tab w:val="left" w:pos="360"/>
      </w:tabs>
      <w:ind w:left="360" w:hanging="200" w:hangingChars="200"/>
    </w:pPr>
  </w:style>
  <w:style w:type="paragraph" w:styleId="16">
    <w:name w:val="List Bullet"/>
    <w:basedOn w:val="1"/>
    <w:autoRedefine/>
    <w:qFormat/>
    <w:uiPriority w:val="99"/>
    <w:pPr>
      <w:tabs>
        <w:tab w:val="left" w:pos="360"/>
      </w:tabs>
      <w:ind w:left="360" w:hanging="360"/>
    </w:pPr>
    <w:rPr>
      <w:sz w:val="24"/>
    </w:rPr>
  </w:style>
  <w:style w:type="paragraph" w:styleId="17">
    <w:name w:val="Document Map"/>
    <w:basedOn w:val="1"/>
    <w:link w:val="68"/>
    <w:autoRedefine/>
    <w:semiHidden/>
    <w:qFormat/>
    <w:uiPriority w:val="99"/>
    <w:rPr>
      <w:rFonts w:ascii="宋体"/>
      <w:sz w:val="18"/>
      <w:szCs w:val="18"/>
    </w:rPr>
  </w:style>
  <w:style w:type="paragraph" w:styleId="18">
    <w:name w:val="annotation text"/>
    <w:basedOn w:val="1"/>
    <w:link w:val="69"/>
    <w:autoRedefine/>
    <w:qFormat/>
    <w:uiPriority w:val="99"/>
    <w:pPr>
      <w:jc w:val="left"/>
    </w:pPr>
    <w:rPr>
      <w:szCs w:val="20"/>
    </w:rPr>
  </w:style>
  <w:style w:type="paragraph" w:styleId="19">
    <w:name w:val="Body Text 3"/>
    <w:basedOn w:val="1"/>
    <w:link w:val="70"/>
    <w:autoRedefine/>
    <w:qFormat/>
    <w:uiPriority w:val="99"/>
    <w:pPr>
      <w:spacing w:after="120"/>
    </w:pPr>
    <w:rPr>
      <w:sz w:val="16"/>
      <w:szCs w:val="16"/>
    </w:rPr>
  </w:style>
  <w:style w:type="paragraph" w:styleId="20">
    <w:name w:val="List Bullet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autoRedefine/>
    <w:qFormat/>
    <w:uiPriority w:val="99"/>
    <w:rPr>
      <w:sz w:val="28"/>
      <w:szCs w:val="20"/>
    </w:rPr>
  </w:style>
  <w:style w:type="paragraph" w:styleId="22">
    <w:name w:val="Body Text Indent"/>
    <w:basedOn w:val="1"/>
    <w:link w:val="62"/>
    <w:autoRedefine/>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autoRedefine/>
    <w:qFormat/>
    <w:uiPriority w:val="0"/>
    <w:pPr>
      <w:ind w:left="100" w:leftChars="200" w:hanging="200" w:hangingChars="200"/>
    </w:pPr>
  </w:style>
  <w:style w:type="paragraph" w:styleId="25">
    <w:name w:val="List Bullet 2"/>
    <w:basedOn w:val="1"/>
    <w:next w:val="26"/>
    <w:autoRedefine/>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autoRedefine/>
    <w:qFormat/>
    <w:uiPriority w:val="99"/>
    <w:pPr>
      <w:spacing w:after="120"/>
      <w:ind w:firstLine="210" w:firstLineChars="100"/>
    </w:pPr>
    <w:rPr>
      <w:kern w:val="0"/>
      <w:sz w:val="20"/>
    </w:rPr>
  </w:style>
  <w:style w:type="paragraph" w:styleId="27">
    <w:name w:val="toc 5"/>
    <w:basedOn w:val="1"/>
    <w:next w:val="1"/>
    <w:autoRedefine/>
    <w:unhideWhenUsed/>
    <w:qFormat/>
    <w:uiPriority w:val="99"/>
    <w:pPr>
      <w:ind w:left="1680" w:leftChars="800"/>
    </w:pPr>
    <w:rPr>
      <w:rFonts w:ascii="Calibri" w:hAnsi="Calibri"/>
      <w:szCs w:val="22"/>
    </w:rPr>
  </w:style>
  <w:style w:type="paragraph" w:styleId="28">
    <w:name w:val="toc 3"/>
    <w:basedOn w:val="1"/>
    <w:next w:val="1"/>
    <w:autoRedefine/>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autoRedefine/>
    <w:qFormat/>
    <w:uiPriority w:val="0"/>
    <w:rPr>
      <w:rFonts w:ascii="宋体" w:hAnsi="Courier New"/>
      <w:szCs w:val="20"/>
    </w:rPr>
  </w:style>
  <w:style w:type="paragraph" w:styleId="30">
    <w:name w:val="List Bullet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autoRedefine/>
    <w:unhideWhenUsed/>
    <w:qFormat/>
    <w:uiPriority w:val="99"/>
    <w:pPr>
      <w:ind w:left="2940" w:leftChars="1400"/>
    </w:pPr>
    <w:rPr>
      <w:rFonts w:ascii="Calibri" w:hAnsi="Calibri"/>
      <w:szCs w:val="22"/>
    </w:rPr>
  </w:style>
  <w:style w:type="paragraph" w:styleId="33">
    <w:name w:val="Date"/>
    <w:basedOn w:val="1"/>
    <w:next w:val="1"/>
    <w:link w:val="73"/>
    <w:autoRedefine/>
    <w:qFormat/>
    <w:uiPriority w:val="99"/>
    <w:pPr>
      <w:ind w:left="100" w:leftChars="2500"/>
    </w:pPr>
    <w:rPr>
      <w:szCs w:val="20"/>
    </w:rPr>
  </w:style>
  <w:style w:type="paragraph" w:styleId="34">
    <w:name w:val="Body Text Indent 2"/>
    <w:basedOn w:val="1"/>
    <w:autoRedefine/>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autoRedefine/>
    <w:qFormat/>
    <w:uiPriority w:val="99"/>
    <w:rPr>
      <w:sz w:val="18"/>
      <w:szCs w:val="18"/>
    </w:rPr>
  </w:style>
  <w:style w:type="paragraph" w:styleId="36">
    <w:name w:val="footer"/>
    <w:basedOn w:val="1"/>
    <w:link w:val="75"/>
    <w:autoRedefine/>
    <w:qFormat/>
    <w:uiPriority w:val="99"/>
    <w:pPr>
      <w:tabs>
        <w:tab w:val="center" w:pos="4153"/>
        <w:tab w:val="right" w:pos="8306"/>
      </w:tabs>
      <w:snapToGrid w:val="0"/>
      <w:jc w:val="left"/>
    </w:pPr>
    <w:rPr>
      <w:sz w:val="18"/>
      <w:szCs w:val="18"/>
    </w:rPr>
  </w:style>
  <w:style w:type="paragraph" w:styleId="37">
    <w:name w:val="header"/>
    <w:basedOn w:val="1"/>
    <w:link w:val="76"/>
    <w:autoRedefine/>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autoRedefine/>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autoRedefine/>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autoRedefine/>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autoRedefine/>
    <w:unhideWhenUsed/>
    <w:qFormat/>
    <w:uiPriority w:val="99"/>
    <w:pPr>
      <w:ind w:left="2100" w:leftChars="1000"/>
    </w:pPr>
    <w:rPr>
      <w:rFonts w:ascii="Calibri" w:hAnsi="Calibri"/>
      <w:szCs w:val="22"/>
    </w:rPr>
  </w:style>
  <w:style w:type="paragraph" w:styleId="45">
    <w:name w:val="Body Text Indent 3"/>
    <w:basedOn w:val="1"/>
    <w:autoRedefine/>
    <w:qFormat/>
    <w:uiPriority w:val="99"/>
    <w:pPr>
      <w:spacing w:after="120" w:line="360" w:lineRule="atLeast"/>
      <w:ind w:firstLine="720" w:firstLineChars="300"/>
    </w:pPr>
    <w:rPr>
      <w:sz w:val="24"/>
      <w:szCs w:val="20"/>
    </w:rPr>
  </w:style>
  <w:style w:type="paragraph" w:styleId="46">
    <w:name w:val="toc 2"/>
    <w:basedOn w:val="1"/>
    <w:next w:val="1"/>
    <w:autoRedefine/>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autoRedefine/>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autoRedefine/>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autoRedefine/>
    <w:unhideWhenUsed/>
    <w:qFormat/>
    <w:uiPriority w:val="99"/>
    <w:pPr>
      <w:ind w:firstLine="420" w:firstLineChars="200"/>
    </w:pPr>
  </w:style>
  <w:style w:type="table" w:styleId="54">
    <w:name w:val="Table Grid"/>
    <w:basedOn w:val="5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autoRedefine/>
    <w:qFormat/>
    <w:uiPriority w:val="20"/>
    <w:rPr>
      <w:i/>
      <w:iCs/>
    </w:rPr>
  </w:style>
  <w:style w:type="character" w:styleId="60">
    <w:name w:val="Hyperlink"/>
    <w:autoRedefine/>
    <w:unhideWhenUsed/>
    <w:qFormat/>
    <w:uiPriority w:val="99"/>
    <w:rPr>
      <w:color w:val="0000FF"/>
      <w:u w:val="single"/>
    </w:rPr>
  </w:style>
  <w:style w:type="character" w:styleId="61">
    <w:name w:val="annotation reference"/>
    <w:autoRedefine/>
    <w:qFormat/>
    <w:uiPriority w:val="0"/>
    <w:rPr>
      <w:sz w:val="21"/>
      <w:szCs w:val="21"/>
    </w:rPr>
  </w:style>
  <w:style w:type="character" w:customStyle="1" w:styleId="62">
    <w:name w:val="正文文本缩进 Char1"/>
    <w:link w:val="22"/>
    <w:qFormat/>
    <w:uiPriority w:val="0"/>
    <w:rPr>
      <w:rFonts w:ascii="楷体_GB2312" w:eastAsia="楷体_GB2312"/>
      <w:sz w:val="28"/>
    </w:rPr>
  </w:style>
  <w:style w:type="character" w:customStyle="1" w:styleId="63">
    <w:name w:val="正文首行缩进 2 Char"/>
    <w:link w:val="52"/>
    <w:autoRedefine/>
    <w:qFormat/>
    <w:uiPriority w:val="99"/>
    <w:rPr>
      <w:rFonts w:ascii="楷体_GB2312" w:eastAsia="楷体_GB2312"/>
      <w:sz w:val="28"/>
    </w:rPr>
  </w:style>
  <w:style w:type="character" w:customStyle="1" w:styleId="64">
    <w:name w:val="标题 1 Char1"/>
    <w:link w:val="2"/>
    <w:qFormat/>
    <w:uiPriority w:val="0"/>
    <w:rPr>
      <w:rFonts w:eastAsia="黑体"/>
      <w:bCs/>
      <w:kern w:val="44"/>
      <w:sz w:val="30"/>
      <w:szCs w:val="44"/>
    </w:rPr>
  </w:style>
  <w:style w:type="character" w:customStyle="1" w:styleId="65">
    <w:name w:val="标题 2 Char"/>
    <w:link w:val="3"/>
    <w:qFormat/>
    <w:uiPriority w:val="99"/>
    <w:rPr>
      <w:rFonts w:ascii="Arial" w:hAnsi="Arial" w:eastAsia="黑体"/>
      <w:bCs/>
      <w:kern w:val="2"/>
      <w:sz w:val="28"/>
      <w:szCs w:val="32"/>
    </w:rPr>
  </w:style>
  <w:style w:type="character" w:customStyle="1" w:styleId="66">
    <w:name w:val="标题 3 Char"/>
    <w:link w:val="4"/>
    <w:qFormat/>
    <w:uiPriority w:val="99"/>
    <w:rPr>
      <w:rFonts w:ascii="黑体" w:eastAsia="黑体"/>
      <w:sz w:val="28"/>
    </w:rPr>
  </w:style>
  <w:style w:type="character" w:customStyle="1" w:styleId="67">
    <w:name w:val="正文缩进 Char"/>
    <w:link w:val="5"/>
    <w:autoRedefine/>
    <w:qFormat/>
    <w:uiPriority w:val="0"/>
    <w:rPr>
      <w:rFonts w:ascii="楷体_GB2312" w:eastAsia="楷体_GB2312"/>
      <w:sz w:val="28"/>
    </w:rPr>
  </w:style>
  <w:style w:type="character" w:customStyle="1" w:styleId="68">
    <w:name w:val="文档结构图 Char"/>
    <w:link w:val="17"/>
    <w:semiHidden/>
    <w:qFormat/>
    <w:uiPriority w:val="99"/>
    <w:rPr>
      <w:rFonts w:ascii="宋体"/>
      <w:kern w:val="2"/>
      <w:sz w:val="18"/>
      <w:szCs w:val="18"/>
    </w:rPr>
  </w:style>
  <w:style w:type="character" w:customStyle="1" w:styleId="69">
    <w:name w:val="批注文字 Char"/>
    <w:link w:val="18"/>
    <w:qFormat/>
    <w:uiPriority w:val="99"/>
    <w:rPr>
      <w:rFonts w:eastAsia="宋体"/>
      <w:kern w:val="2"/>
      <w:sz w:val="21"/>
      <w:lang w:val="en-US" w:eastAsia="zh-CN" w:bidi="ar-SA"/>
    </w:rPr>
  </w:style>
  <w:style w:type="character" w:customStyle="1" w:styleId="70">
    <w:name w:val="正文文本 3 Char"/>
    <w:link w:val="19"/>
    <w:autoRedefine/>
    <w:qFormat/>
    <w:uiPriority w:val="99"/>
    <w:rPr>
      <w:kern w:val="2"/>
      <w:sz w:val="16"/>
      <w:szCs w:val="16"/>
    </w:rPr>
  </w:style>
  <w:style w:type="character" w:customStyle="1" w:styleId="71">
    <w:name w:val="正文文本 Char1"/>
    <w:link w:val="21"/>
    <w:qFormat/>
    <w:uiPriority w:val="0"/>
    <w:rPr>
      <w:kern w:val="2"/>
      <w:sz w:val="28"/>
    </w:rPr>
  </w:style>
  <w:style w:type="character" w:customStyle="1" w:styleId="72">
    <w:name w:val="正文首行缩进 Char"/>
    <w:link w:val="26"/>
    <w:autoRedefine/>
    <w:qFormat/>
    <w:locked/>
    <w:uiPriority w:val="99"/>
  </w:style>
  <w:style w:type="character" w:customStyle="1" w:styleId="73">
    <w:name w:val="日期 Char"/>
    <w:link w:val="33"/>
    <w:qFormat/>
    <w:uiPriority w:val="99"/>
    <w:rPr>
      <w:kern w:val="2"/>
      <w:sz w:val="21"/>
    </w:rPr>
  </w:style>
  <w:style w:type="character" w:customStyle="1" w:styleId="74">
    <w:name w:val="批注框文本 Char"/>
    <w:link w:val="35"/>
    <w:autoRedefine/>
    <w:semiHidden/>
    <w:qFormat/>
    <w:uiPriority w:val="99"/>
    <w:rPr>
      <w:kern w:val="2"/>
      <w:sz w:val="18"/>
      <w:szCs w:val="18"/>
    </w:rPr>
  </w:style>
  <w:style w:type="character" w:customStyle="1" w:styleId="75">
    <w:name w:val="页脚 Char"/>
    <w:link w:val="36"/>
    <w:autoRedefine/>
    <w:qFormat/>
    <w:uiPriority w:val="99"/>
    <w:rPr>
      <w:kern w:val="2"/>
      <w:sz w:val="18"/>
      <w:szCs w:val="18"/>
    </w:rPr>
  </w:style>
  <w:style w:type="character" w:customStyle="1" w:styleId="76">
    <w:name w:val="页眉 Char"/>
    <w:link w:val="37"/>
    <w:autoRedefine/>
    <w:qFormat/>
    <w:uiPriority w:val="99"/>
    <w:rPr>
      <w:kern w:val="2"/>
      <w:sz w:val="18"/>
      <w:szCs w:val="18"/>
    </w:rPr>
  </w:style>
  <w:style w:type="character" w:customStyle="1" w:styleId="77">
    <w:name w:val="副标题 Char"/>
    <w:link w:val="42"/>
    <w:qFormat/>
    <w:uiPriority w:val="0"/>
    <w:rPr>
      <w:rFonts w:ascii="Cambria" w:hAnsi="Cambria" w:cs="黑体"/>
      <w:b/>
      <w:bCs/>
      <w:kern w:val="28"/>
      <w:sz w:val="32"/>
      <w:szCs w:val="32"/>
    </w:rPr>
  </w:style>
  <w:style w:type="character" w:customStyle="1" w:styleId="78">
    <w:name w:val="正文文本 2 Char"/>
    <w:link w:val="48"/>
    <w:autoRedefine/>
    <w:qFormat/>
    <w:locked/>
    <w:uiPriority w:val="99"/>
    <w:rPr>
      <w:color w:val="FF0000"/>
    </w:rPr>
  </w:style>
  <w:style w:type="character" w:customStyle="1" w:styleId="79">
    <w:name w:val="批注主题 Char"/>
    <w:link w:val="51"/>
    <w:autoRedefine/>
    <w:qFormat/>
    <w:uiPriority w:val="99"/>
    <w:rPr>
      <w:rFonts w:eastAsia="宋体"/>
      <w:b/>
      <w:bCs/>
      <w:kern w:val="2"/>
      <w:sz w:val="21"/>
      <w:lang w:val="en-US" w:eastAsia="zh-CN" w:bidi="ar-SA"/>
    </w:rPr>
  </w:style>
  <w:style w:type="character" w:customStyle="1" w:styleId="80">
    <w:name w:val="标题 1 Char"/>
    <w:autoRedefine/>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autoRedefine/>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出段落 Char"/>
    <w:link w:val="89"/>
    <w:qFormat/>
    <w:uiPriority w:val="34"/>
    <w:rPr>
      <w:kern w:val="2"/>
      <w:sz w:val="21"/>
    </w:rPr>
  </w:style>
  <w:style w:type="paragraph" w:styleId="89">
    <w:name w:val="List Paragraph"/>
    <w:basedOn w:val="1"/>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autoRedefine/>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autoRedefine/>
    <w:qFormat/>
    <w:uiPriority w:val="99"/>
    <w:rPr>
      <w:rFonts w:ascii="Arial" w:hAnsi="Arial" w:eastAsia="黑体" w:cs="Times New Roman"/>
      <w:b/>
      <w:bCs/>
      <w:sz w:val="24"/>
      <w:szCs w:val="24"/>
    </w:rPr>
  </w:style>
  <w:style w:type="character" w:customStyle="1" w:styleId="96">
    <w:name w:val="正文文本缩进 Char"/>
    <w:autoRedefine/>
    <w:qFormat/>
    <w:uiPriority w:val="99"/>
    <w:rPr>
      <w:rFonts w:ascii="楷体_GB2312" w:eastAsia="楷体_GB2312"/>
      <w:sz w:val="28"/>
    </w:rPr>
  </w:style>
  <w:style w:type="character" w:customStyle="1" w:styleId="97">
    <w:name w:val="标题 Char"/>
    <w:autoRedefine/>
    <w:qFormat/>
    <w:uiPriority w:val="0"/>
    <w:rPr>
      <w:rFonts w:ascii="Cambria" w:hAnsi="Cambria" w:cs="Times New Roman"/>
      <w:b/>
      <w:bCs/>
      <w:kern w:val="2"/>
      <w:sz w:val="32"/>
      <w:szCs w:val="32"/>
    </w:rPr>
  </w:style>
  <w:style w:type="character" w:customStyle="1" w:styleId="98">
    <w:name w:val="标题 4 Char"/>
    <w:autoRedefine/>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autoRedefine/>
    <w:qFormat/>
    <w:uiPriority w:val="0"/>
    <w:pPr>
      <w:spacing w:before="340" w:after="330" w:line="400" w:lineRule="exact"/>
    </w:pPr>
    <w:rPr>
      <w:b/>
      <w:color w:val="0070C0"/>
    </w:rPr>
  </w:style>
  <w:style w:type="character" w:customStyle="1" w:styleId="101">
    <w:name w:val="标题 5 Char"/>
    <w:autoRedefine/>
    <w:qFormat/>
    <w:uiPriority w:val="99"/>
    <w:rPr>
      <w:rFonts w:ascii="Times New Roman" w:hAnsi="Times New Roman" w:eastAsia="宋体" w:cs="Times New Roman"/>
      <w:b/>
      <w:bCs/>
      <w:sz w:val="28"/>
      <w:szCs w:val="28"/>
    </w:rPr>
  </w:style>
  <w:style w:type="character" w:customStyle="1" w:styleId="102">
    <w:name w:val="Char Char1"/>
    <w:autoRedefine/>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5"/>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autoRedefine/>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autoRedefine/>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autoRedefine/>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autoRedefine/>
    <w:unhideWhenUsed/>
    <w:qFormat/>
    <w:uiPriority w:val="0"/>
    <w:pPr>
      <w:jc w:val="left"/>
    </w:pPr>
    <w:rPr>
      <w:rFonts w:eastAsia="Times New Roman"/>
    </w:rPr>
  </w:style>
  <w:style w:type="paragraph" w:customStyle="1" w:styleId="118">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4"/>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2"/>
    <w:qFormat/>
    <w:uiPriority w:val="0"/>
    <w:pPr>
      <w:spacing w:line="240" w:lineRule="auto"/>
    </w:pPr>
    <w:rPr>
      <w:rFonts w:ascii="黑体"/>
      <w:sz w:val="36"/>
      <w:szCs w:val="36"/>
    </w:rPr>
  </w:style>
  <w:style w:type="paragraph" w:customStyle="1" w:styleId="130">
    <w:name w:val="TOC 标题111"/>
    <w:basedOn w:val="2"/>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autoRedefine/>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autoRedefine/>
    <w:qFormat/>
    <w:uiPriority w:val="99"/>
    <w:pPr>
      <w:ind w:firstLine="420" w:firstLineChars="200"/>
    </w:pPr>
    <w:rPr>
      <w:szCs w:val="20"/>
    </w:rPr>
  </w:style>
  <w:style w:type="paragraph" w:customStyle="1" w:styleId="134">
    <w:name w:val="TOC 标题2"/>
    <w:basedOn w:val="2"/>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2"/>
    <w:next w:val="1"/>
    <w:autoRedefine/>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autoRedefine/>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autoRedefine/>
    <w:qFormat/>
    <w:uiPriority w:val="0"/>
    <w:pPr>
      <w:widowControl w:val="0"/>
      <w:jc w:val="both"/>
    </w:pPr>
    <w:rPr>
      <w:rFonts w:ascii="Calibri" w:hAnsi="Calibri" w:eastAsia="宋体" w:cs="Times New Roman"/>
      <w:lang w:val="en-US" w:eastAsia="zh-CN" w:bidi="ar-SA"/>
    </w:rPr>
  </w:style>
  <w:style w:type="paragraph" w:customStyle="1" w:styleId="142">
    <w:name w:val="节"/>
    <w:basedOn w:val="3"/>
    <w:autoRedefine/>
    <w:qFormat/>
    <w:uiPriority w:val="0"/>
    <w:pPr>
      <w:spacing w:line="240" w:lineRule="auto"/>
    </w:pPr>
    <w:rPr>
      <w:rFonts w:ascii="黑体"/>
      <w:szCs w:val="28"/>
    </w:rPr>
  </w:style>
  <w:style w:type="paragraph" w:customStyle="1" w:styleId="143">
    <w:name w:val="新定义正文"/>
    <w:basedOn w:val="1"/>
    <w:autoRedefine/>
    <w:qFormat/>
    <w:uiPriority w:val="0"/>
    <w:pPr>
      <w:widowControl/>
    </w:pPr>
    <w:rPr>
      <w:color w:val="000000"/>
      <w:szCs w:val="21"/>
    </w:rPr>
  </w:style>
  <w:style w:type="paragraph" w:customStyle="1" w:styleId="144">
    <w:name w:val="纯文本1"/>
    <w:basedOn w:val="1"/>
    <w:autoRedefine/>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3"/>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autoRedefine/>
    <w:semiHidden/>
    <w:qFormat/>
    <w:locked/>
    <w:uiPriority w:val="99"/>
    <w:rPr>
      <w:rFonts w:ascii="Cambria" w:hAnsi="Cambria" w:eastAsia="宋体" w:cs="Times New Roman"/>
      <w:kern w:val="2"/>
    </w:rPr>
  </w:style>
  <w:style w:type="character" w:customStyle="1" w:styleId="148">
    <w:name w:val="Style Heading A + (Latin) Times New Roman (Asian) 楷体_GB2312 Char"/>
    <w:autoRedefine/>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autoRedefine/>
    <w:qFormat/>
    <w:uiPriority w:val="99"/>
    <w:rPr>
      <w:rFonts w:cs="Times New Roman"/>
      <w:sz w:val="22"/>
      <w:szCs w:val="22"/>
      <w:u w:val="none"/>
    </w:rPr>
  </w:style>
  <w:style w:type="character" w:customStyle="1" w:styleId="151">
    <w:name w:val="样式 标题 3h3H3l3CTheading 3Level 3 Headlevel_3PIM 3sect1.2... Char"/>
    <w:link w:val="152"/>
    <w:autoRedefine/>
    <w:qFormat/>
    <w:uiPriority w:val="0"/>
    <w:rPr>
      <w:rFonts w:ascii="Arial" w:hAnsi="Arial" w:eastAsia="黑体"/>
      <w:bCs/>
      <w:kern w:val="2"/>
      <w:sz w:val="24"/>
      <w:szCs w:val="32"/>
    </w:rPr>
  </w:style>
  <w:style w:type="paragraph" w:customStyle="1" w:styleId="152">
    <w:name w:val="样式 标题 3h3H3l3CTheading 3Level 3 Headlevel_3PIM 3sect1.2..."/>
    <w:basedOn w:val="4"/>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3"/>
    <w:link w:val="156"/>
    <w:autoRedefine/>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autoRedefine/>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3"/>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autoRedefine/>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3"/>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5"/>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3"/>
    <w:autoRedefine/>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6"/>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autoRedefine/>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autoRedefine/>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autoRedefine/>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autoRedefine/>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autoRedefine/>
    <w:qFormat/>
    <w:uiPriority w:val="99"/>
    <w:pPr>
      <w:tabs>
        <w:tab w:val="left" w:pos="1742"/>
      </w:tabs>
      <w:ind w:left="1742" w:hanging="420"/>
    </w:pPr>
    <w:rPr>
      <w:sz w:val="24"/>
      <w:szCs w:val="20"/>
    </w:rPr>
  </w:style>
  <w:style w:type="paragraph" w:customStyle="1" w:styleId="228">
    <w:name w:val="Char"/>
    <w:basedOn w:val="1"/>
    <w:autoRedefine/>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autoRedefine/>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autoRedefine/>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autoRedefine/>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3"/>
    <w:next w:val="21"/>
    <w:autoRedefine/>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autoRedefine/>
    <w:qFormat/>
    <w:uiPriority w:val="0"/>
    <w:pPr>
      <w:autoSpaceDE/>
      <w:autoSpaceDN/>
      <w:spacing w:line="288" w:lineRule="auto"/>
      <w:jc w:val="center"/>
    </w:pPr>
    <w:rPr>
      <w:rFonts w:ascii="宋体" w:hAnsi="宋体"/>
      <w:b/>
    </w:rPr>
  </w:style>
  <w:style w:type="paragraph" w:customStyle="1" w:styleId="238">
    <w:name w:val="Heading A"/>
    <w:basedOn w:val="2"/>
    <w:next w:val="21"/>
    <w:autoRedefine/>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autoRedefine/>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6"/>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autoRedefine/>
    <w:qFormat/>
    <w:uiPriority w:val="99"/>
    <w:rPr>
      <w:rFonts w:ascii="Tahoma" w:hAnsi="Tahoma"/>
      <w:sz w:val="24"/>
      <w:szCs w:val="20"/>
    </w:rPr>
  </w:style>
  <w:style w:type="paragraph" w:customStyle="1" w:styleId="244">
    <w:name w:val="Char Char2 Char Char Char Char Char Char"/>
    <w:basedOn w:val="1"/>
    <w:autoRedefine/>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autoRedefine/>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autoRedefine/>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autoRedefine/>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autoRedefine/>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autoRedefine/>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autoRedefine/>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autoRedefine/>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5"/>
    <w:qFormat/>
    <w:uiPriority w:val="99"/>
    <w:pPr>
      <w:spacing w:line="360" w:lineRule="auto"/>
      <w:jc w:val="center"/>
    </w:pPr>
    <w:rPr>
      <w:rFonts w:ascii="Arial" w:hAnsi="Arial" w:eastAsia="黑体"/>
      <w:b/>
    </w:rPr>
  </w:style>
  <w:style w:type="paragraph" w:customStyle="1" w:styleId="260">
    <w:name w:val="日期1"/>
    <w:basedOn w:val="1"/>
    <w:next w:val="1"/>
    <w:autoRedefine/>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autoRedefine/>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autoRedefine/>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5"/>
    <w:autoRedefine/>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autoRedefine/>
    <w:qFormat/>
    <w:uiPriority w:val="99"/>
    <w:pPr>
      <w:autoSpaceDE/>
      <w:autoSpaceDN/>
      <w:adjustRightInd/>
      <w:spacing w:line="240" w:lineRule="auto"/>
      <w:ind w:left="0"/>
      <w:jc w:val="center"/>
    </w:pPr>
    <w:rPr>
      <w:b/>
      <w:sz w:val="24"/>
    </w:rPr>
  </w:style>
  <w:style w:type="paragraph" w:customStyle="1" w:styleId="269">
    <w:name w:val="招标文件1.1.1"/>
    <w:autoRedefine/>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autoRedefine/>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6"/>
    <w:autoRedefine/>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autoRedefine/>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autoRedefine/>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2"/>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4"/>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autoRedefine/>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3"/>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autoRedefine/>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3"/>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autoRedefine/>
    <w:qFormat/>
    <w:uiPriority w:val="99"/>
    <w:pPr>
      <w:jc w:val="center"/>
    </w:pPr>
    <w:rPr>
      <w:rFonts w:ascii="宋体" w:hAnsi="宋体"/>
    </w:rPr>
  </w:style>
  <w:style w:type="paragraph" w:customStyle="1" w:styleId="344">
    <w:name w:val="font11"/>
    <w:basedOn w:val="1"/>
    <w:autoRedefine/>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autoRedefine/>
    <w:qFormat/>
    <w:uiPriority w:val="99"/>
    <w:pPr>
      <w:tabs>
        <w:tab w:val="left" w:pos="425"/>
      </w:tabs>
      <w:ind w:left="1417" w:hanging="425"/>
    </w:pPr>
    <w:rPr>
      <w:i/>
      <w:sz w:val="20"/>
    </w:rPr>
  </w:style>
  <w:style w:type="paragraph" w:customStyle="1" w:styleId="346">
    <w:name w:val="Char11"/>
    <w:basedOn w:val="1"/>
    <w:autoRedefine/>
    <w:qFormat/>
    <w:uiPriority w:val="0"/>
    <w:rPr>
      <w:rFonts w:ascii="宋体" w:hAnsi="宋体"/>
      <w:sz w:val="24"/>
      <w:szCs w:val="20"/>
    </w:rPr>
  </w:style>
  <w:style w:type="paragraph" w:customStyle="1" w:styleId="347">
    <w:name w:val="xl29"/>
    <w:basedOn w:val="1"/>
    <w:autoRedefine/>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autoRedefine/>
    <w:qFormat/>
    <w:uiPriority w:val="99"/>
    <w:pPr>
      <w:shd w:val="clear" w:color="auto" w:fill="E0E0E0"/>
      <w:spacing w:beforeLines="50" w:afterLines="50"/>
    </w:pPr>
    <w:rPr>
      <w:rFonts w:ascii="Arial" w:hAnsi="Arial" w:eastAsia="仿宋_GB2312"/>
    </w:rPr>
  </w:style>
  <w:style w:type="paragraph" w:customStyle="1" w:styleId="349">
    <w:name w:val="MM Topic 1"/>
    <w:basedOn w:val="2"/>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autoRedefine/>
    <w:qFormat/>
    <w:uiPriority w:val="0"/>
    <w:pPr>
      <w:widowControl/>
      <w:spacing w:before="120" w:line="360" w:lineRule="auto"/>
      <w:ind w:firstLine="425"/>
    </w:pPr>
    <w:rPr>
      <w:kern w:val="0"/>
      <w:sz w:val="24"/>
    </w:rPr>
  </w:style>
  <w:style w:type="paragraph" w:customStyle="1" w:styleId="352">
    <w:name w:val="正文小四（首行缩进两字）"/>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autoRedefine/>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autoRedefine/>
    <w:qFormat/>
    <w:uiPriority w:val="0"/>
    <w:pPr>
      <w:widowControl/>
      <w:autoSpaceDE w:val="0"/>
      <w:autoSpaceDN w:val="0"/>
      <w:ind w:firstLine="200" w:firstLineChars="200"/>
    </w:pPr>
    <w:rPr>
      <w:rFonts w:ascii="宋体"/>
      <w:kern w:val="0"/>
      <w:szCs w:val="20"/>
    </w:rPr>
  </w:style>
  <w:style w:type="paragraph" w:customStyle="1" w:styleId="357">
    <w:name w:val="TOC 标题3"/>
    <w:basedOn w:val="2"/>
    <w:next w:val="1"/>
    <w:autoRedefine/>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autoRedefine/>
    <w:qFormat/>
    <w:uiPriority w:val="0"/>
    <w:rPr>
      <w:rFonts w:ascii="仿宋_GB2312" w:hAnsi="仿宋_GB2312" w:eastAsia="仿宋_GB2312"/>
      <w:sz w:val="24"/>
    </w:rPr>
  </w:style>
  <w:style w:type="paragraph" w:customStyle="1" w:styleId="361">
    <w:name w:val="kevin标题1"/>
    <w:basedOn w:val="1"/>
    <w:autoRedefine/>
    <w:qFormat/>
    <w:uiPriority w:val="0"/>
    <w:pPr>
      <w:spacing w:afterLines="50"/>
      <w:ind w:left="1" w:firstLine="538" w:firstLineChars="192"/>
    </w:pPr>
    <w:rPr>
      <w:rFonts w:eastAsia="黑体"/>
      <w:sz w:val="24"/>
      <w:szCs w:val="20"/>
    </w:rPr>
  </w:style>
  <w:style w:type="character" w:customStyle="1" w:styleId="362">
    <w:name w:val="msonormal1"/>
    <w:autoRedefine/>
    <w:qFormat/>
    <w:uiPriority w:val="0"/>
  </w:style>
  <w:style w:type="character" w:customStyle="1" w:styleId="363">
    <w:name w:val="Normal Paragraph Char1"/>
    <w:link w:val="351"/>
    <w:autoRedefine/>
    <w:qFormat/>
    <w:locked/>
    <w:uiPriority w:val="0"/>
    <w:rPr>
      <w:sz w:val="24"/>
      <w:szCs w:val="24"/>
    </w:rPr>
  </w:style>
  <w:style w:type="character" w:customStyle="1" w:styleId="364">
    <w:name w:val="未处理的提及1"/>
    <w:basedOn w:val="55"/>
    <w:autoRedefine/>
    <w:semiHidden/>
    <w:unhideWhenUsed/>
    <w:qFormat/>
    <w:uiPriority w:val="99"/>
    <w:rPr>
      <w:color w:val="605E5C"/>
      <w:shd w:val="clear" w:color="auto" w:fill="E1DFDD"/>
    </w:rPr>
  </w:style>
  <w:style w:type="character" w:customStyle="1" w:styleId="365">
    <w:name w:val="3级标题 Char"/>
    <w:link w:val="366"/>
    <w:autoRedefine/>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autoRedefine/>
    <w:qFormat/>
    <w:uiPriority w:val="0"/>
    <w:pPr>
      <w:numPr>
        <w:ilvl w:val="1"/>
        <w:numId w:val="3"/>
      </w:numPr>
      <w:spacing w:line="360" w:lineRule="auto"/>
      <w:outlineLvl w:val="2"/>
    </w:pPr>
  </w:style>
  <w:style w:type="paragraph" w:customStyle="1" w:styleId="368">
    <w:name w:val="whh正文"/>
    <w:basedOn w:val="1"/>
    <w:autoRedefine/>
    <w:qFormat/>
    <w:uiPriority w:val="0"/>
    <w:pPr>
      <w:adjustRightInd w:val="0"/>
      <w:snapToGrid w:val="0"/>
      <w:spacing w:line="360" w:lineRule="auto"/>
      <w:ind w:firstLine="420"/>
    </w:pPr>
    <w:rPr>
      <w:rFonts w:ascii="宋体" w:hAnsi="宋体"/>
      <w:szCs w:val="21"/>
    </w:rPr>
  </w:style>
  <w:style w:type="paragraph" w:customStyle="1" w:styleId="3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autoRedefine/>
    <w:qFormat/>
    <w:uiPriority w:val="0"/>
    <w:pPr>
      <w:numPr>
        <w:ilvl w:val="0"/>
        <w:numId w:val="4"/>
      </w:numPr>
      <w:spacing w:line="360" w:lineRule="auto"/>
    </w:pPr>
    <w:rPr>
      <w:sz w:val="24"/>
    </w:rPr>
  </w:style>
  <w:style w:type="paragraph" w:customStyle="1" w:styleId="3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373">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374">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375">
    <w:name w:val="p0"/>
    <w:basedOn w:val="1"/>
    <w:autoRedefine/>
    <w:qFormat/>
    <w:uiPriority w:val="0"/>
    <w:pPr>
      <w:widowControl/>
      <w:adjustRightInd w:val="0"/>
      <w:spacing w:line="360" w:lineRule="atLeast"/>
      <w:textAlignment w:val="baseline"/>
    </w:pPr>
    <w:rPr>
      <w:rFonts w:eastAsia="Times New Roman"/>
      <w:kern w:val="0"/>
      <w:szCs w:val="20"/>
    </w:rPr>
  </w:style>
  <w:style w:type="paragraph" w:customStyle="1" w:styleId="376">
    <w:name w:val="图片表格"/>
    <w:basedOn w:val="1"/>
    <w:qFormat/>
    <w:uiPriority w:val="5"/>
    <w:pPr>
      <w:adjustRightInd w:val="0"/>
      <w:jc w:val="center"/>
    </w:pPr>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53</Pages>
  <Words>4369</Words>
  <Characters>24908</Characters>
  <Lines>207</Lines>
  <Paragraphs>58</Paragraphs>
  <TotalTime>0</TotalTime>
  <ScaleCrop>false</ScaleCrop>
  <LinksUpToDate>false</LinksUpToDate>
  <CharactersWithSpaces>29219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2022-06-06T06:53:00Z</dcterms:created>
  <dc:creator>Administrator</dc:creator>
  <cp:lastModifiedBy>王真</cp:lastModifiedBy>
  <cp:lastPrinted>2017-04-11T05:36:00Z</cp:lastPrinted>
  <dcterms:modified xsi:type="dcterms:W3CDTF">2024-01-17T02:08:36Z</dcterms:modified>
  <cp:revision>631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63348B1B7F084C8A93CD20B9283CAC22_13</vt:lpwstr>
  </property>
</Properties>
</file>